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754E" w14:textId="77777777" w:rsidR="00985050" w:rsidRPr="00550747" w:rsidRDefault="00616AC5" w:rsidP="00616AC5">
      <w:pPr>
        <w:pStyle w:val="Heading2"/>
        <w:rPr>
          <w:sz w:val="22"/>
          <w:szCs w:val="22"/>
        </w:rPr>
      </w:pPr>
      <w:r w:rsidRPr="00550747">
        <w:rPr>
          <w:bCs/>
          <w:sz w:val="22"/>
          <w:szCs w:val="22"/>
          <w:lang w:val="de-DE"/>
        </w:rPr>
        <w:t xml:space="preserve">Produkteigenschaften </w:t>
      </w:r>
    </w:p>
    <w:p w14:paraId="345510A5" w14:textId="77777777" w:rsidR="009F797C" w:rsidRPr="00947E29" w:rsidRDefault="009F797C" w:rsidP="00616AC5">
      <w:pPr>
        <w:pStyle w:val="Heading3"/>
        <w:rPr>
          <w:sz w:val="16"/>
          <w:szCs w:val="16"/>
        </w:rPr>
      </w:pPr>
    </w:p>
    <w:p w14:paraId="3E6C6594" w14:textId="77777777" w:rsidR="00BB53AB" w:rsidRPr="00550747" w:rsidRDefault="00BB53AB" w:rsidP="00616AC5">
      <w:pPr>
        <w:pStyle w:val="Heading3"/>
        <w:rPr>
          <w:sz w:val="20"/>
          <w:szCs w:val="20"/>
        </w:rPr>
      </w:pPr>
      <w:r w:rsidRPr="00550747">
        <w:rPr>
          <w:sz w:val="20"/>
          <w:szCs w:val="20"/>
          <w:lang w:val="de-DE"/>
        </w:rPr>
        <w:t>Träger und Clips:</w:t>
      </w:r>
    </w:p>
    <w:p w14:paraId="5F81BE39" w14:textId="77777777" w:rsidR="00BB53AB" w:rsidRPr="00550747" w:rsidRDefault="003C1CDB" w:rsidP="00BB53AB">
      <w:pPr>
        <w:pStyle w:val="Heading3"/>
        <w:numPr>
          <w:ilvl w:val="0"/>
          <w:numId w:val="26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de-DE"/>
        </w:rPr>
      </w:pPr>
      <w:r w:rsidRPr="00550747">
        <w:rPr>
          <w:rFonts w:asciiTheme="minorHAnsi" w:eastAsiaTheme="minorHAnsi" w:hAnsiTheme="minorHAnsi" w:cstheme="minorBidi"/>
          <w:color w:val="auto"/>
          <w:sz w:val="18"/>
          <w:szCs w:val="18"/>
          <w:lang w:val="de-DE"/>
        </w:rPr>
        <w:t>Träger können horizontal auf einer perfekt ausgerichteten dahinterliegenden Tragkonstruktion montiert werden</w:t>
      </w:r>
    </w:p>
    <w:p w14:paraId="0F6B7A49" w14:textId="77777777" w:rsidR="003C1CDB" w:rsidRPr="00550747" w:rsidRDefault="009A472B" w:rsidP="003C1CDB">
      <w:pPr>
        <w:pStyle w:val="ListParagraph"/>
        <w:numPr>
          <w:ilvl w:val="0"/>
          <w:numId w:val="26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 xml:space="preserve">Träger können gebogen werden, um gebogene Wände (kleinster Radius </w:t>
      </w:r>
      <w:r w:rsidR="001B3926">
        <w:rPr>
          <w:sz w:val="18"/>
          <w:szCs w:val="18"/>
          <w:lang w:val="de-DE"/>
        </w:rPr>
        <w:t>100</w:t>
      </w:r>
      <w:r w:rsidRPr="00550747">
        <w:rPr>
          <w:sz w:val="18"/>
          <w:szCs w:val="18"/>
          <w:lang w:val="de-DE"/>
        </w:rPr>
        <w:t>0 mm) zu verkleiden</w:t>
      </w:r>
    </w:p>
    <w:p w14:paraId="293EF360" w14:textId="77777777" w:rsidR="003C1CDB" w:rsidRPr="00550747" w:rsidRDefault="003C1CDB" w:rsidP="003C1CDB">
      <w:pPr>
        <w:pStyle w:val="ListParagraph"/>
        <w:numPr>
          <w:ilvl w:val="0"/>
          <w:numId w:val="34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Kunststoffclips (patentiert) werden schraubenlos an den horizontalen Trägern befestigt</w:t>
      </w:r>
    </w:p>
    <w:p w14:paraId="6F0B6DD5" w14:textId="77777777" w:rsidR="00F53671" w:rsidRPr="00550747" w:rsidRDefault="003C1CDB" w:rsidP="003C1CDB">
      <w:pPr>
        <w:pStyle w:val="ListParagraph"/>
        <w:numPr>
          <w:ilvl w:val="0"/>
          <w:numId w:val="34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Kunststoffclips ermöglichen eine thermische Dilatation ohne Knackgeräusche</w:t>
      </w:r>
    </w:p>
    <w:p w14:paraId="24817AEB" w14:textId="77777777" w:rsidR="00AF3CBD" w:rsidRPr="000907C8" w:rsidRDefault="00AF3CBD" w:rsidP="00616AC5">
      <w:pPr>
        <w:pStyle w:val="Heading3"/>
        <w:rPr>
          <w:sz w:val="16"/>
          <w:szCs w:val="16"/>
          <w:lang w:val="de-DE"/>
        </w:rPr>
      </w:pPr>
    </w:p>
    <w:p w14:paraId="16554AA3" w14:textId="77777777" w:rsidR="00AF3CBD" w:rsidRPr="00550747" w:rsidRDefault="00274AC3" w:rsidP="00AF3CBD">
      <w:pPr>
        <w:pStyle w:val="Heading3"/>
        <w:rPr>
          <w:sz w:val="20"/>
          <w:szCs w:val="20"/>
        </w:rPr>
      </w:pPr>
      <w:r w:rsidRPr="00550747">
        <w:rPr>
          <w:sz w:val="20"/>
          <w:szCs w:val="20"/>
          <w:lang w:val="de-DE"/>
        </w:rPr>
        <w:t>Basisprofile:</w:t>
      </w:r>
    </w:p>
    <w:p w14:paraId="611D0AB5" w14:textId="77777777" w:rsidR="00367C7A" w:rsidRPr="00550747" w:rsidRDefault="00AF3CBD" w:rsidP="00EC718A">
      <w:pPr>
        <w:pStyle w:val="ListParagraph"/>
        <w:numPr>
          <w:ilvl w:val="0"/>
          <w:numId w:val="34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Individuelle vertikale Profile, in verschiedenen Formen (block- oder rippenförmig) erhältlich.</w:t>
      </w:r>
    </w:p>
    <w:p w14:paraId="3230A423" w14:textId="77777777" w:rsidR="00EC718A" w:rsidRPr="00550747" w:rsidRDefault="00367C7A" w:rsidP="008C3BC7">
      <w:pPr>
        <w:pStyle w:val="ListParagraph"/>
        <w:numPr>
          <w:ilvl w:val="0"/>
          <w:numId w:val="34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Die einzelnen vertikalen Profile lassen sich untereinander zu einer individuellen Fassadenbekleidung kombinieren</w:t>
      </w:r>
      <w:r w:rsidR="00550747">
        <w:rPr>
          <w:sz w:val="18"/>
          <w:szCs w:val="18"/>
          <w:lang w:val="de-DE"/>
        </w:rPr>
        <w:t xml:space="preserve"> (MIX)</w:t>
      </w:r>
    </w:p>
    <w:p w14:paraId="0F159927" w14:textId="77777777" w:rsidR="00367C7A" w:rsidRPr="00550747" w:rsidRDefault="00AF07AA" w:rsidP="00367C7A">
      <w:pPr>
        <w:pStyle w:val="ListParagraph"/>
        <w:numPr>
          <w:ilvl w:val="0"/>
          <w:numId w:val="34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Die einzelnen vertikalen Profile ermöglichen verschiedene Farbkombinationen</w:t>
      </w:r>
    </w:p>
    <w:p w14:paraId="4AA116C1" w14:textId="77777777" w:rsidR="00AF3CBD" w:rsidRPr="00550747" w:rsidRDefault="00AF3CBD" w:rsidP="00AF3CBD">
      <w:pPr>
        <w:pStyle w:val="ListParagraph"/>
        <w:numPr>
          <w:ilvl w:val="0"/>
          <w:numId w:val="34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Jedes Basisprofil kann in der Sollposition fixiert oder um 2 mm ausgefahren bzw. eingefahren werden, sodass die Breite der zu verkleidenden Fassadenfläche flexibel mit einer maximalen Dehnung bzw. Schrumpfung von 32 mm/lm ausgeführt werden kann</w:t>
      </w:r>
    </w:p>
    <w:p w14:paraId="20F2BCB0" w14:textId="77777777" w:rsidR="00EC718A" w:rsidRPr="00550747" w:rsidRDefault="00EC718A" w:rsidP="00EC718A">
      <w:pPr>
        <w:pStyle w:val="ListParagraph"/>
        <w:numPr>
          <w:ilvl w:val="0"/>
          <w:numId w:val="34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 xml:space="preserve">Das System ist </w:t>
      </w:r>
      <w:proofErr w:type="spellStart"/>
      <w:r w:rsidRPr="00550747">
        <w:rPr>
          <w:sz w:val="18"/>
          <w:szCs w:val="18"/>
          <w:lang w:val="de-DE"/>
        </w:rPr>
        <w:t>vandalismussicher</w:t>
      </w:r>
      <w:proofErr w:type="spellEnd"/>
      <w:r w:rsidRPr="00550747">
        <w:rPr>
          <w:sz w:val="18"/>
          <w:szCs w:val="18"/>
          <w:lang w:val="de-DE"/>
        </w:rPr>
        <w:t xml:space="preserve">, aber die Profile können bei Bedarf auch einzeln </w:t>
      </w:r>
      <w:proofErr w:type="spellStart"/>
      <w:r w:rsidRPr="00550747">
        <w:rPr>
          <w:sz w:val="18"/>
          <w:szCs w:val="18"/>
          <w:lang w:val="de-DE"/>
        </w:rPr>
        <w:t>abgeclipst</w:t>
      </w:r>
      <w:proofErr w:type="spellEnd"/>
      <w:r w:rsidRPr="00550747">
        <w:rPr>
          <w:sz w:val="18"/>
          <w:szCs w:val="18"/>
          <w:lang w:val="de-DE"/>
        </w:rPr>
        <w:t xml:space="preserve"> werden, ohne dass der Rest der Wand demontiert werden muss</w:t>
      </w:r>
    </w:p>
    <w:p w14:paraId="1B3D65DC" w14:textId="77777777" w:rsidR="00F53671" w:rsidRPr="00550747" w:rsidRDefault="00F53671" w:rsidP="00EC718A">
      <w:pPr>
        <w:pStyle w:val="ListParagraph"/>
        <w:numPr>
          <w:ilvl w:val="0"/>
          <w:numId w:val="34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Die Profile können in jede beliebige Position gedreht werden</w:t>
      </w:r>
    </w:p>
    <w:p w14:paraId="1D796C0F" w14:textId="77777777" w:rsidR="00545C2C" w:rsidRPr="00550747" w:rsidRDefault="00545C2C" w:rsidP="00616AC5">
      <w:pPr>
        <w:pStyle w:val="Heading3"/>
        <w:ind w:left="360"/>
        <w:rPr>
          <w:rFonts w:asciiTheme="minorHAnsi" w:eastAsiaTheme="minorHAnsi" w:hAnsiTheme="minorHAnsi" w:cstheme="minorBidi"/>
          <w:color w:val="auto"/>
          <w:sz w:val="18"/>
          <w:szCs w:val="18"/>
          <w:lang w:val="de-DE"/>
        </w:rPr>
      </w:pPr>
    </w:p>
    <w:tbl>
      <w:tblPr>
        <w:tblStyle w:val="MediumList2-Accent1"/>
        <w:tblW w:w="4219" w:type="pct"/>
        <w:tblLayout w:type="fixed"/>
        <w:tblLook w:val="04A0" w:firstRow="1" w:lastRow="0" w:firstColumn="1" w:lastColumn="0" w:noHBand="0" w:noVBand="1"/>
      </w:tblPr>
      <w:tblGrid>
        <w:gridCol w:w="986"/>
        <w:gridCol w:w="1076"/>
        <w:gridCol w:w="1058"/>
        <w:gridCol w:w="970"/>
        <w:gridCol w:w="869"/>
        <w:gridCol w:w="1615"/>
        <w:gridCol w:w="1079"/>
      </w:tblGrid>
      <w:tr w:rsidR="00285C25" w:rsidRPr="00DF6715" w14:paraId="2B55826D" w14:textId="77777777" w:rsidTr="00550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" w:type="pct"/>
            <w:noWrap/>
            <w:vAlign w:val="bottom"/>
          </w:tcPr>
          <w:p w14:paraId="56334BB2" w14:textId="77777777" w:rsidR="00285C25" w:rsidRPr="00550747" w:rsidRDefault="00285C25" w:rsidP="00F644F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</w:pPr>
          </w:p>
          <w:p w14:paraId="08EBDA1D" w14:textId="77777777" w:rsidR="00285C25" w:rsidRPr="00550747" w:rsidRDefault="00285C25" w:rsidP="00F644F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Profiltyp</w:t>
            </w:r>
          </w:p>
        </w:tc>
        <w:tc>
          <w:tcPr>
            <w:tcW w:w="703" w:type="pct"/>
            <w:vAlign w:val="bottom"/>
          </w:tcPr>
          <w:p w14:paraId="5B1B33F8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3DA59C18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  <w:t>Form</w:t>
            </w:r>
          </w:p>
        </w:tc>
        <w:tc>
          <w:tcPr>
            <w:tcW w:w="691" w:type="pct"/>
            <w:vAlign w:val="bottom"/>
          </w:tcPr>
          <w:p w14:paraId="156206E2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  <w:t xml:space="preserve">Maximale </w:t>
            </w:r>
          </w:p>
          <w:p w14:paraId="6CAECE7C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  <w:t>Länge</w:t>
            </w:r>
          </w:p>
          <w:p w14:paraId="093468B5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  <w:t>(mm)</w:t>
            </w:r>
          </w:p>
        </w:tc>
        <w:tc>
          <w:tcPr>
            <w:tcW w:w="634" w:type="pct"/>
            <w:vAlign w:val="bottom"/>
          </w:tcPr>
          <w:p w14:paraId="3AA18C65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6293D1B6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Breite (mm)</w:t>
            </w:r>
          </w:p>
        </w:tc>
        <w:tc>
          <w:tcPr>
            <w:tcW w:w="568" w:type="pct"/>
            <w:vAlign w:val="bottom"/>
          </w:tcPr>
          <w:p w14:paraId="5BE116D8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Freie</w:t>
            </w:r>
          </w:p>
          <w:p w14:paraId="6536539A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Tiefe (mm)</w:t>
            </w:r>
          </w:p>
        </w:tc>
        <w:tc>
          <w:tcPr>
            <w:tcW w:w="1055" w:type="pct"/>
            <w:vAlign w:val="bottom"/>
          </w:tcPr>
          <w:p w14:paraId="703233CD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  <w:t>Systemtiefe (Profil + Träger) (mm)</w:t>
            </w:r>
          </w:p>
        </w:tc>
        <w:tc>
          <w:tcPr>
            <w:tcW w:w="705" w:type="pct"/>
            <w:vAlign w:val="bottom"/>
          </w:tcPr>
          <w:p w14:paraId="50FA3F26" w14:textId="77777777" w:rsidR="00285C25" w:rsidRPr="00550747" w:rsidRDefault="00285C25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</w:pPr>
            <w:r w:rsidRPr="00550747"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  <w:t>Gewicht inkl. Träger (kg/m²)</w:t>
            </w:r>
          </w:p>
        </w:tc>
      </w:tr>
      <w:tr w:rsidR="00550747" w:rsidRPr="00550747" w14:paraId="564D6CB1" w14:textId="77777777" w:rsidTr="00550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0A795F7A" w14:textId="77777777" w:rsidR="00285C25" w:rsidRPr="00550747" w:rsidRDefault="00285C25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EVEN</w:t>
            </w:r>
          </w:p>
        </w:tc>
        <w:tc>
          <w:tcPr>
            <w:tcW w:w="703" w:type="pct"/>
            <w:shd w:val="clear" w:color="auto" w:fill="auto"/>
          </w:tcPr>
          <w:p w14:paraId="6D50708F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550747">
              <w:rPr>
                <w:rFonts w:eastAsiaTheme="minorEastAsia"/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432D1100" wp14:editId="32F20617">
                  <wp:extent cx="603472" cy="131521"/>
                  <wp:effectExtent l="0" t="0" r="6350" b="190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578" cy="16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shd w:val="clear" w:color="auto" w:fill="auto"/>
          </w:tcPr>
          <w:p w14:paraId="41FB025A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55961FD2" w14:textId="77777777" w:rsidR="00285C25" w:rsidRPr="00550747" w:rsidRDefault="00550747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6</w:t>
            </w:r>
            <w:r w:rsidR="00285C25"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0</w:t>
            </w:r>
          </w:p>
        </w:tc>
        <w:tc>
          <w:tcPr>
            <w:tcW w:w="568" w:type="pct"/>
            <w:shd w:val="clear" w:color="auto" w:fill="auto"/>
          </w:tcPr>
          <w:p w14:paraId="7B4F8F0E" w14:textId="77777777" w:rsidR="00285C25" w:rsidRPr="00550747" w:rsidRDefault="00550747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36300F23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61</w:t>
            </w:r>
          </w:p>
        </w:tc>
        <w:tc>
          <w:tcPr>
            <w:tcW w:w="705" w:type="pct"/>
            <w:shd w:val="clear" w:color="auto" w:fill="auto"/>
          </w:tcPr>
          <w:p w14:paraId="6CC17FB6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13</w:t>
            </w:r>
          </w:p>
        </w:tc>
      </w:tr>
      <w:tr w:rsidR="00550747" w:rsidRPr="00550747" w14:paraId="6A3A1BB5" w14:textId="77777777" w:rsidTr="00550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734F9AA3" w14:textId="47EA8C97" w:rsidR="00285C25" w:rsidRPr="00550747" w:rsidRDefault="00285C25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BLOCK</w:t>
            </w:r>
            <w:r w:rsidR="00E50F62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vertAlign w:val="superscript"/>
                <w:lang w:val="de-DE"/>
              </w:rPr>
              <w:t>25</w:t>
            </w:r>
          </w:p>
        </w:tc>
        <w:tc>
          <w:tcPr>
            <w:tcW w:w="703" w:type="pct"/>
            <w:shd w:val="clear" w:color="auto" w:fill="auto"/>
          </w:tcPr>
          <w:p w14:paraId="4FEC6556" w14:textId="77777777" w:rsidR="00285C25" w:rsidRPr="00550747" w:rsidRDefault="00285C25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</w:rPr>
            </w:pPr>
            <w:r w:rsidRPr="00550747">
              <w:rPr>
                <w:rFonts w:eastAsiaTheme="minorEastAsia"/>
                <w:b/>
                <w:bCs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 wp14:anchorId="09E07913" wp14:editId="039183C8">
                  <wp:simplePos x="0" y="0"/>
                  <wp:positionH relativeFrom="column">
                    <wp:posOffset>-14503</wp:posOffset>
                  </wp:positionH>
                  <wp:positionV relativeFrom="paragraph">
                    <wp:posOffset>27534</wp:posOffset>
                  </wp:positionV>
                  <wp:extent cx="617360" cy="137083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06" cy="14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" w:type="pct"/>
            <w:shd w:val="clear" w:color="auto" w:fill="auto"/>
          </w:tcPr>
          <w:p w14:paraId="3AF8737A" w14:textId="77777777" w:rsidR="00285C25" w:rsidRPr="00550747" w:rsidRDefault="00285C25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6872E3FD" w14:textId="77777777" w:rsidR="00285C25" w:rsidRPr="00550747" w:rsidRDefault="00285C25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1AA1447E" w14:textId="3046053A" w:rsidR="00285C25" w:rsidRPr="00550747" w:rsidRDefault="00E50F62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37CD589C" w14:textId="750AAF44" w:rsidR="00285C25" w:rsidRPr="00550747" w:rsidRDefault="00285C25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6</w:t>
            </w:r>
            <w:r w:rsidR="00E50F62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1</w:t>
            </w:r>
          </w:p>
        </w:tc>
        <w:tc>
          <w:tcPr>
            <w:tcW w:w="705" w:type="pct"/>
            <w:shd w:val="clear" w:color="auto" w:fill="auto"/>
          </w:tcPr>
          <w:p w14:paraId="5BCD3369" w14:textId="6FCED11B" w:rsidR="00285C25" w:rsidRPr="00550747" w:rsidRDefault="00285C25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1D4672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1</w:t>
            </w:r>
            <w:r w:rsidR="001D4672" w:rsidRPr="001D4672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2</w:t>
            </w:r>
          </w:p>
        </w:tc>
      </w:tr>
      <w:tr w:rsidR="00550747" w:rsidRPr="00550747" w14:paraId="3E7C5C6C" w14:textId="77777777" w:rsidTr="00550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5245E36B" w14:textId="77777777" w:rsidR="00285C25" w:rsidRPr="00550747" w:rsidRDefault="00285C25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BLOCK</w:t>
            </w: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vertAlign w:val="superscript"/>
                <w:lang w:val="de-DE"/>
              </w:rPr>
              <w:t>16</w:t>
            </w:r>
          </w:p>
        </w:tc>
        <w:tc>
          <w:tcPr>
            <w:tcW w:w="703" w:type="pct"/>
            <w:shd w:val="clear" w:color="auto" w:fill="auto"/>
          </w:tcPr>
          <w:p w14:paraId="5E325297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</w:rPr>
            </w:pPr>
            <w:r w:rsidRPr="00550747">
              <w:rPr>
                <w:rFonts w:eastAsiaTheme="minorEastAsia"/>
                <w:b/>
                <w:bCs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007933C7" wp14:editId="44C3FB89">
                  <wp:simplePos x="0" y="0"/>
                  <wp:positionH relativeFrom="column">
                    <wp:posOffset>-10846</wp:posOffset>
                  </wp:positionH>
                  <wp:positionV relativeFrom="paragraph">
                    <wp:posOffset>57607</wp:posOffset>
                  </wp:positionV>
                  <wp:extent cx="616670" cy="77673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21" cy="8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" w:type="pct"/>
            <w:shd w:val="clear" w:color="auto" w:fill="auto"/>
          </w:tcPr>
          <w:p w14:paraId="4B975913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08410F2A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42EF68E4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de-DE"/>
              </w:rPr>
              <w:t>16</w:t>
            </w:r>
          </w:p>
        </w:tc>
        <w:tc>
          <w:tcPr>
            <w:tcW w:w="1055" w:type="pct"/>
            <w:shd w:val="clear" w:color="auto" w:fill="auto"/>
          </w:tcPr>
          <w:p w14:paraId="7597DA3A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52</w:t>
            </w:r>
          </w:p>
        </w:tc>
        <w:tc>
          <w:tcPr>
            <w:tcW w:w="705" w:type="pct"/>
            <w:shd w:val="clear" w:color="auto" w:fill="auto"/>
          </w:tcPr>
          <w:p w14:paraId="5D9BD662" w14:textId="77777777" w:rsidR="00285C25" w:rsidRPr="00550747" w:rsidRDefault="00285C25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550747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de-DE"/>
              </w:rPr>
              <w:t>10</w:t>
            </w:r>
          </w:p>
        </w:tc>
      </w:tr>
      <w:tr w:rsidR="00550747" w:rsidRPr="00550747" w14:paraId="44ABB216" w14:textId="77777777" w:rsidTr="00550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05654C57" w14:textId="77777777" w:rsidR="00550747" w:rsidRDefault="00550747" w:rsidP="00550747">
            <w:pP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BLOCK</w:t>
            </w: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  <w:t>16L</w:t>
            </w:r>
          </w:p>
          <w:p w14:paraId="43F26783" w14:textId="1B6C8090" w:rsidR="00747AAD" w:rsidRPr="00550747" w:rsidRDefault="00747AAD" w:rsidP="00550747">
            <w:pPr>
              <w:rPr>
                <w:rFonts w:eastAsiaTheme="minorEastAsia"/>
                <w:color w:val="FF0000"/>
                <w:sz w:val="18"/>
                <w:szCs w:val="18"/>
                <w:lang w:val="de-DE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CONE</w:t>
            </w:r>
          </w:p>
        </w:tc>
        <w:tc>
          <w:tcPr>
            <w:tcW w:w="703" w:type="pct"/>
            <w:shd w:val="clear" w:color="auto" w:fill="auto"/>
          </w:tcPr>
          <w:p w14:paraId="291834E7" w14:textId="2084DCF5" w:rsidR="00747AAD" w:rsidRDefault="00747AAD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noProof/>
                <w:color w:val="FF0000"/>
                <w:sz w:val="18"/>
                <w:szCs w:val="18"/>
                <w:lang w:val="en-GB" w:eastAsia="en-GB"/>
              </w:rPr>
            </w:pPr>
            <w:r w:rsidRPr="00043059">
              <w:rPr>
                <w:rFonts w:eastAsiaTheme="minorEastAsia"/>
                <w:b/>
                <w:i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D9590FC" wp14:editId="7B2A21C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79375</wp:posOffset>
                      </wp:positionV>
                      <wp:extent cx="293370" cy="45719"/>
                      <wp:effectExtent l="0" t="0" r="30480" b="31115"/>
                      <wp:wrapNone/>
                      <wp:docPr id="15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370" cy="45719"/>
                                <a:chOff x="0" y="0"/>
                                <a:chExt cx="6523805" cy="921521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19981" y="0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0" y="921521"/>
                                  <a:ext cx="475843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4758431" y="16646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4748271" y="0"/>
                                  <a:ext cx="17755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6318D1" id="Group 11" o:spid="_x0000_s1026" style="position:absolute;margin-left:5.1pt;margin-top:6.25pt;width:23.1pt;height:3.6pt;z-index:251672576;mso-width-relative:margin;mso-height-relative:margin" coordsize="65238,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">
                      <v:line id="Straight Connector 16" o:spid="_x0000_s1027" style="position:absolute;visibility:visible;mso-wrap-style:square" from="199,0" to="199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7" o:spid="_x0000_s1028" style="position:absolute;visibility:visible;mso-wrap-style:square" from="0,9215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8" o:spid="_x0000_s1029" style="position:absolute;visibility:visible;mso-wrap-style:square" from="47584,166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      <v:stroke joinstyle="miter"/>
                      </v:line>
                      <v:line id="Straight Connector 19" o:spid="_x0000_s1030" style="position:absolute;visibility:visible;mso-wrap-style:square" from="47482,0" to="652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4579E2FB" w14:textId="7BBF88F8" w:rsidR="00550747" w:rsidRPr="00550747" w:rsidRDefault="00747AAD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noProof/>
                <w:color w:val="FF0000"/>
                <w:sz w:val="18"/>
                <w:szCs w:val="18"/>
                <w:lang w:val="en-GB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DF67AEA" wp14:editId="73D667B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5080</wp:posOffset>
                  </wp:positionV>
                  <wp:extent cx="546100" cy="148590"/>
                  <wp:effectExtent l="0" t="0" r="6350" b="381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" w:type="pct"/>
            <w:shd w:val="clear" w:color="auto" w:fill="auto"/>
          </w:tcPr>
          <w:p w14:paraId="03D0F279" w14:textId="77777777" w:rsidR="00550747" w:rsidRDefault="00550747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6.000</w:t>
            </w:r>
          </w:p>
          <w:p w14:paraId="7005A194" w14:textId="02EFAFB7" w:rsidR="00747AAD" w:rsidRPr="00043059" w:rsidRDefault="00747AAD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4303F8AF" w14:textId="77777777" w:rsidR="00550747" w:rsidRDefault="00550747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120</w:t>
            </w:r>
          </w:p>
          <w:p w14:paraId="2314A846" w14:textId="59509370" w:rsidR="00747AAD" w:rsidRPr="00043059" w:rsidRDefault="00747AAD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25E64444" w14:textId="77777777" w:rsidR="00550747" w:rsidRDefault="00550747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16</w:t>
            </w:r>
          </w:p>
          <w:p w14:paraId="6A88427E" w14:textId="5AED8F54" w:rsidR="00747AAD" w:rsidRPr="00043059" w:rsidRDefault="00747AAD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color w:val="auto"/>
                <w:sz w:val="18"/>
                <w:szCs w:val="18"/>
              </w:rPr>
            </w:pPr>
            <w:r>
              <w:rPr>
                <w:rFonts w:eastAsiaTheme="minorEastAsia"/>
                <w:i/>
                <w:color w:val="auto"/>
                <w:sz w:val="18"/>
                <w:szCs w:val="18"/>
                <w:lang w:val="nl-NL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313315B1" w14:textId="77777777" w:rsidR="00550747" w:rsidRDefault="00550747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52</w:t>
            </w:r>
          </w:p>
          <w:p w14:paraId="086BDD67" w14:textId="4EFB24C4" w:rsidR="00747AAD" w:rsidRPr="00043059" w:rsidRDefault="00747AAD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61</w:t>
            </w:r>
          </w:p>
        </w:tc>
        <w:tc>
          <w:tcPr>
            <w:tcW w:w="705" w:type="pct"/>
            <w:shd w:val="clear" w:color="auto" w:fill="auto"/>
          </w:tcPr>
          <w:p w14:paraId="04E6A475" w14:textId="77777777" w:rsidR="00550747" w:rsidRDefault="00550747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-</w:t>
            </w:r>
          </w:p>
          <w:p w14:paraId="2D197509" w14:textId="708A65CA" w:rsidR="00747AAD" w:rsidRPr="00043059" w:rsidRDefault="00747AAD" w:rsidP="00550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11</w:t>
            </w:r>
          </w:p>
        </w:tc>
      </w:tr>
    </w:tbl>
    <w:p w14:paraId="09DBCB57" w14:textId="77777777" w:rsidR="00F644F4" w:rsidRPr="00550747" w:rsidRDefault="00550747" w:rsidP="00545C2C">
      <w:pPr>
        <w:rPr>
          <w:i/>
          <w:sz w:val="18"/>
          <w:szCs w:val="18"/>
          <w:lang w:val="de-DE"/>
        </w:rPr>
      </w:pPr>
      <w:r w:rsidRPr="00550747">
        <w:rPr>
          <w:i/>
          <w:sz w:val="18"/>
          <w:szCs w:val="18"/>
          <w:lang w:val="de-DE"/>
        </w:rPr>
        <w:t>BLOCK16L nur in MIX anwendbar</w:t>
      </w:r>
      <w:r w:rsidRPr="00550747">
        <w:rPr>
          <w:i/>
          <w:sz w:val="18"/>
          <w:szCs w:val="18"/>
          <w:lang w:val="de-DE"/>
        </w:rPr>
        <w:br/>
      </w:r>
    </w:p>
    <w:p w14:paraId="501477CF" w14:textId="77777777" w:rsidR="00F91B7C" w:rsidRPr="00550747" w:rsidRDefault="009A472B" w:rsidP="00616AC5">
      <w:pPr>
        <w:pStyle w:val="Heading3"/>
        <w:rPr>
          <w:sz w:val="20"/>
          <w:szCs w:val="20"/>
        </w:rPr>
      </w:pPr>
      <w:r w:rsidRPr="00550747">
        <w:rPr>
          <w:sz w:val="20"/>
          <w:szCs w:val="20"/>
          <w:lang w:val="de-DE"/>
        </w:rPr>
        <w:t xml:space="preserve">Eckprofile und Wechselprofile: </w:t>
      </w:r>
    </w:p>
    <w:p w14:paraId="3C452AAC" w14:textId="77777777" w:rsidR="008C3BC7" w:rsidRPr="00550747" w:rsidRDefault="00616AC5" w:rsidP="008C3BC7">
      <w:pPr>
        <w:pStyle w:val="ListParagraph"/>
        <w:numPr>
          <w:ilvl w:val="0"/>
          <w:numId w:val="36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Die Eckprofile (innen und außen) sorgen für einen nahtlosen Eckanschluss</w:t>
      </w:r>
    </w:p>
    <w:p w14:paraId="4482E698" w14:textId="58CEE99C" w:rsidR="00925CC7" w:rsidRPr="00550747" w:rsidRDefault="00925CC7" w:rsidP="008C3BC7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550747">
        <w:rPr>
          <w:sz w:val="18"/>
          <w:szCs w:val="18"/>
          <w:lang w:val="de-DE"/>
        </w:rPr>
        <w:t>Außenecke:  BLOCK</w:t>
      </w:r>
      <w:r w:rsidRPr="00550747">
        <w:rPr>
          <w:sz w:val="18"/>
          <w:szCs w:val="18"/>
          <w:vertAlign w:val="superscript"/>
          <w:lang w:val="de-DE"/>
        </w:rPr>
        <w:t>16</w:t>
      </w:r>
      <w:r w:rsidRPr="00550747">
        <w:rPr>
          <w:sz w:val="18"/>
          <w:szCs w:val="18"/>
          <w:lang w:val="de-DE"/>
        </w:rPr>
        <w:t>, BLOCK</w:t>
      </w:r>
      <w:r w:rsidR="00E50F62">
        <w:rPr>
          <w:sz w:val="18"/>
          <w:szCs w:val="18"/>
          <w:vertAlign w:val="superscript"/>
          <w:lang w:val="de-DE"/>
        </w:rPr>
        <w:t>25</w:t>
      </w:r>
      <w:r w:rsidRPr="00550747">
        <w:rPr>
          <w:sz w:val="18"/>
          <w:szCs w:val="18"/>
          <w:lang w:val="de-DE"/>
        </w:rPr>
        <w:t xml:space="preserve">, </w:t>
      </w:r>
      <w:r w:rsidR="00285C25" w:rsidRPr="00550747">
        <w:rPr>
          <w:sz w:val="18"/>
          <w:szCs w:val="18"/>
          <w:lang w:val="de-DE"/>
        </w:rPr>
        <w:t>EVEN</w:t>
      </w:r>
    </w:p>
    <w:p w14:paraId="6CD53473" w14:textId="7FBC416F" w:rsidR="00F91B7C" w:rsidRPr="00550747" w:rsidRDefault="00925CC7" w:rsidP="008C3BC7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550747">
        <w:rPr>
          <w:sz w:val="18"/>
          <w:szCs w:val="18"/>
          <w:lang w:val="de-DE"/>
        </w:rPr>
        <w:t>Innenecke: BLOCK</w:t>
      </w:r>
      <w:r w:rsidR="00E50F62">
        <w:rPr>
          <w:sz w:val="18"/>
          <w:szCs w:val="18"/>
          <w:vertAlign w:val="superscript"/>
          <w:lang w:val="de-DE"/>
        </w:rPr>
        <w:t>25</w:t>
      </w:r>
      <w:r w:rsidRPr="00550747">
        <w:rPr>
          <w:sz w:val="18"/>
          <w:szCs w:val="18"/>
          <w:lang w:val="de-DE"/>
        </w:rPr>
        <w:t xml:space="preserve"> und </w:t>
      </w:r>
      <w:r w:rsidR="00285C25" w:rsidRPr="00550747">
        <w:rPr>
          <w:sz w:val="18"/>
          <w:szCs w:val="18"/>
          <w:lang w:val="de-DE"/>
        </w:rPr>
        <w:t>EVEN</w:t>
      </w:r>
    </w:p>
    <w:p w14:paraId="4A4A1ACF" w14:textId="77777777" w:rsidR="00550747" w:rsidRDefault="00616AC5" w:rsidP="00550747">
      <w:pPr>
        <w:pStyle w:val="ListParagraph"/>
        <w:numPr>
          <w:ilvl w:val="0"/>
          <w:numId w:val="25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Mit den Wechselprofilen kann die Richtung gewechselt werden, um Türen, Fenster oder Tore perfekt zu einer klaren Einheit in der Fassade zu verarbeiten</w:t>
      </w:r>
      <w:r w:rsidR="00550747">
        <w:rPr>
          <w:sz w:val="18"/>
          <w:szCs w:val="18"/>
          <w:lang w:val="de-DE"/>
        </w:rPr>
        <w:br/>
      </w:r>
    </w:p>
    <w:p w14:paraId="17F35AEE" w14:textId="77777777" w:rsidR="00550747" w:rsidRPr="00043059" w:rsidRDefault="00550747" w:rsidP="00550747">
      <w:pPr>
        <w:pStyle w:val="Heading3"/>
        <w:rPr>
          <w:sz w:val="20"/>
          <w:szCs w:val="20"/>
        </w:rPr>
      </w:pPr>
      <w:bookmarkStart w:id="0" w:name="_Hlk27469931"/>
      <w:proofErr w:type="spellStart"/>
      <w:r>
        <w:rPr>
          <w:sz w:val="20"/>
          <w:szCs w:val="20"/>
        </w:rPr>
        <w:t>Ausgleichprofile</w:t>
      </w:r>
      <w:proofErr w:type="spellEnd"/>
      <w:r w:rsidRPr="00043059">
        <w:rPr>
          <w:sz w:val="20"/>
          <w:szCs w:val="20"/>
        </w:rPr>
        <w:t xml:space="preserve">: </w:t>
      </w:r>
    </w:p>
    <w:p w14:paraId="6DF42D3B" w14:textId="77777777" w:rsidR="00550747" w:rsidRPr="00550747" w:rsidRDefault="00550747" w:rsidP="00550747">
      <w:pPr>
        <w:pStyle w:val="ListParagraph"/>
        <w:numPr>
          <w:ilvl w:val="0"/>
          <w:numId w:val="27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 xml:space="preserve">Mehr Spiel für den Einsatz bei Türen oder </w:t>
      </w:r>
      <w:proofErr w:type="spellStart"/>
      <w:r>
        <w:rPr>
          <w:sz w:val="18"/>
          <w:szCs w:val="18"/>
          <w:lang w:val="de-DE"/>
        </w:rPr>
        <w:t>Garaget</w:t>
      </w:r>
      <w:r w:rsidRPr="00550747">
        <w:rPr>
          <w:sz w:val="18"/>
          <w:szCs w:val="18"/>
          <w:lang w:val="de-DE"/>
        </w:rPr>
        <w:t>oren</w:t>
      </w:r>
      <w:proofErr w:type="spellEnd"/>
    </w:p>
    <w:p w14:paraId="4B78294B" w14:textId="77777777" w:rsidR="00550747" w:rsidRPr="00550747" w:rsidRDefault="00550747" w:rsidP="00550747">
      <w:pPr>
        <w:pStyle w:val="ListParagraph"/>
        <w:numPr>
          <w:ilvl w:val="0"/>
          <w:numId w:val="27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Kann mit einer Gummidichtung versehen werden.</w:t>
      </w:r>
      <w:bookmarkEnd w:id="0"/>
    </w:p>
    <w:p w14:paraId="5BD4FBA2" w14:textId="77777777" w:rsidR="00666B34" w:rsidRPr="00550747" w:rsidRDefault="00550747" w:rsidP="00666B34">
      <w:pPr>
        <w:pStyle w:val="Heading2"/>
        <w:rPr>
          <w:sz w:val="22"/>
          <w:szCs w:val="22"/>
        </w:rPr>
      </w:pPr>
      <w:r>
        <w:rPr>
          <w:bCs/>
          <w:sz w:val="22"/>
          <w:szCs w:val="22"/>
          <w:lang w:val="de-DE"/>
        </w:rPr>
        <w:t xml:space="preserve">Material und </w:t>
      </w:r>
      <w:r w:rsidR="00666B34" w:rsidRPr="00550747">
        <w:rPr>
          <w:bCs/>
          <w:sz w:val="22"/>
          <w:szCs w:val="22"/>
          <w:lang w:val="de-DE"/>
        </w:rPr>
        <w:t>Oberflächenbehandlung Profile</w:t>
      </w:r>
    </w:p>
    <w:p w14:paraId="14C66A71" w14:textId="77777777" w:rsidR="00550747" w:rsidRDefault="00550747" w:rsidP="00550747">
      <w:pPr>
        <w:pStyle w:val="ListParagraph"/>
        <w:numPr>
          <w:ilvl w:val="0"/>
          <w:numId w:val="26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Profilen aus extrudiertem Aluminium Al Mg Si 0,5</w:t>
      </w:r>
    </w:p>
    <w:p w14:paraId="1AEE3CCE" w14:textId="77777777" w:rsidR="00550747" w:rsidRPr="00550747" w:rsidRDefault="00550747" w:rsidP="00550747">
      <w:pPr>
        <w:pStyle w:val="ListParagraph"/>
        <w:numPr>
          <w:ilvl w:val="0"/>
          <w:numId w:val="26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Träger technisch eloxiert 5µ</w:t>
      </w:r>
    </w:p>
    <w:p w14:paraId="409F76D0" w14:textId="77777777" w:rsidR="00550747" w:rsidRDefault="00550747" w:rsidP="00550747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 xml:space="preserve">Die Aluminiumprofile sind mit einer Polyester-Pulverbeschichtung in RAL-Strukturlack (60 bis 80 Mikron) nach dem </w:t>
      </w:r>
      <w:proofErr w:type="spellStart"/>
      <w:r w:rsidRPr="00550747">
        <w:rPr>
          <w:sz w:val="18"/>
          <w:szCs w:val="18"/>
          <w:lang w:val="de-DE"/>
        </w:rPr>
        <w:t>Qualicoat</w:t>
      </w:r>
      <w:proofErr w:type="spellEnd"/>
      <w:r w:rsidRPr="00550747">
        <w:rPr>
          <w:sz w:val="18"/>
          <w:szCs w:val="18"/>
          <w:lang w:val="de-DE"/>
        </w:rPr>
        <w:t>-Standard versehen</w:t>
      </w:r>
    </w:p>
    <w:p w14:paraId="6E6793A9" w14:textId="77777777" w:rsidR="00FA10BD" w:rsidRPr="00FA10BD" w:rsidRDefault="00FA10BD" w:rsidP="00FA10BD">
      <w:pPr>
        <w:pStyle w:val="ListParagraph"/>
        <w:numPr>
          <w:ilvl w:val="0"/>
          <w:numId w:val="25"/>
        </w:numPr>
        <w:rPr>
          <w:sz w:val="18"/>
          <w:szCs w:val="18"/>
          <w:lang w:val="de-DE"/>
        </w:rPr>
      </w:pPr>
      <w:r w:rsidRPr="00FA10BD">
        <w:rPr>
          <w:sz w:val="18"/>
          <w:szCs w:val="18"/>
          <w:lang w:val="de-DE"/>
        </w:rPr>
        <w:t>Die Profile mit Holzdesign erhalten zunächst eine Pulverbeschichtungsgrundierung gemäß dem Qualicoat-Standard, auf die die Endbeschichtung mit einer weichmacherfreien Holzoptik-PVC-Folie mit einer transparenten PVDF-Schutzschicht aufgetragen wird.</w:t>
      </w:r>
    </w:p>
    <w:p w14:paraId="21A98485" w14:textId="55245898" w:rsidR="006921D3" w:rsidRPr="00FA10BD" w:rsidRDefault="006921D3" w:rsidP="006921D3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</w:p>
    <w:p w14:paraId="0537EBF0" w14:textId="77777777" w:rsidR="00FD6D9C" w:rsidRPr="00550747" w:rsidRDefault="00742BF2" w:rsidP="00FD6D9C">
      <w:pPr>
        <w:pStyle w:val="Heading2"/>
        <w:rPr>
          <w:bCs/>
          <w:sz w:val="22"/>
          <w:szCs w:val="22"/>
          <w:lang w:val="de-DE"/>
        </w:rPr>
      </w:pPr>
      <w:r w:rsidRPr="00550747">
        <w:rPr>
          <w:bCs/>
          <w:sz w:val="22"/>
          <w:szCs w:val="22"/>
          <w:lang w:val="de-DE"/>
        </w:rPr>
        <w:t>Optionen</w:t>
      </w:r>
    </w:p>
    <w:p w14:paraId="4D630577" w14:textId="77777777" w:rsidR="007A67BC" w:rsidRPr="00A364D1" w:rsidRDefault="00A364D1" w:rsidP="007A67BC">
      <w:pPr>
        <w:pStyle w:val="Heading3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Direkte Befestigung</w:t>
      </w:r>
      <w:r w:rsidR="007A67BC" w:rsidRPr="00A364D1">
        <w:rPr>
          <w:sz w:val="20"/>
          <w:szCs w:val="20"/>
          <w:lang w:val="de-DE"/>
        </w:rPr>
        <w:t>:</w:t>
      </w:r>
    </w:p>
    <w:p w14:paraId="6AD597AB" w14:textId="77777777" w:rsidR="007A67BC" w:rsidRPr="00A364D1" w:rsidRDefault="007A67BC" w:rsidP="00E9148A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  <w:r w:rsidRPr="00A364D1">
        <w:rPr>
          <w:sz w:val="18"/>
          <w:szCs w:val="18"/>
          <w:lang w:val="de-DE"/>
        </w:rPr>
        <w:t xml:space="preserve">Langlebige und feuerfeste Lösung. Schnelle Montage der </w:t>
      </w:r>
      <w:r w:rsidR="00A364D1">
        <w:rPr>
          <w:sz w:val="18"/>
          <w:szCs w:val="18"/>
          <w:lang w:val="de-DE"/>
        </w:rPr>
        <w:t>Träger</w:t>
      </w:r>
      <w:r w:rsidRPr="00A364D1">
        <w:rPr>
          <w:sz w:val="18"/>
          <w:szCs w:val="18"/>
          <w:lang w:val="de-DE"/>
        </w:rPr>
        <w:t xml:space="preserve"> direkt an der Wand mit Anker</w:t>
      </w:r>
      <w:r w:rsidR="00A364D1">
        <w:rPr>
          <w:sz w:val="18"/>
          <w:szCs w:val="18"/>
          <w:lang w:val="de-DE"/>
        </w:rPr>
        <w:t>dübel</w:t>
      </w:r>
      <w:r w:rsidRPr="00A364D1">
        <w:rPr>
          <w:sz w:val="18"/>
          <w:szCs w:val="18"/>
          <w:lang w:val="de-DE"/>
        </w:rPr>
        <w:t xml:space="preserve"> (patentiert).</w:t>
      </w:r>
    </w:p>
    <w:p w14:paraId="1F287B7A" w14:textId="77777777" w:rsidR="007A67BC" w:rsidRPr="00A364D1" w:rsidRDefault="007A67BC" w:rsidP="007A67BC">
      <w:pPr>
        <w:pStyle w:val="Heading3"/>
        <w:rPr>
          <w:sz w:val="20"/>
          <w:szCs w:val="20"/>
          <w:lang w:val="de-DE"/>
        </w:rPr>
      </w:pPr>
    </w:p>
    <w:p w14:paraId="6F15B0A3" w14:textId="77777777" w:rsidR="007A67BC" w:rsidRPr="00A364D1" w:rsidRDefault="007A67BC" w:rsidP="007A67BC">
      <w:pPr>
        <w:pStyle w:val="Heading3"/>
        <w:rPr>
          <w:sz w:val="20"/>
          <w:szCs w:val="20"/>
          <w:lang w:val="de-DE"/>
        </w:rPr>
      </w:pPr>
      <w:r w:rsidRPr="00A364D1">
        <w:rPr>
          <w:sz w:val="20"/>
          <w:szCs w:val="20"/>
          <w:lang w:val="de-DE"/>
        </w:rPr>
        <w:t xml:space="preserve">Profilen </w:t>
      </w:r>
      <w:r w:rsidR="00A364D1">
        <w:rPr>
          <w:sz w:val="20"/>
          <w:szCs w:val="20"/>
          <w:lang w:val="de-DE"/>
        </w:rPr>
        <w:t>für Fensterlaibung</w:t>
      </w:r>
      <w:r w:rsidRPr="00A364D1">
        <w:rPr>
          <w:sz w:val="20"/>
          <w:szCs w:val="20"/>
          <w:lang w:val="de-DE"/>
        </w:rPr>
        <w:t>:</w:t>
      </w:r>
    </w:p>
    <w:p w14:paraId="2E265BB2" w14:textId="77777777" w:rsidR="007A67BC" w:rsidRPr="00A364D1" w:rsidRDefault="007A67BC" w:rsidP="00E9148A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  <w:r w:rsidRPr="00A364D1">
        <w:rPr>
          <w:sz w:val="18"/>
          <w:szCs w:val="18"/>
          <w:lang w:val="de-DE"/>
        </w:rPr>
        <w:t>Zur Fertigstellung der Kante neben und über dem Fenster, mit unsichtbarer Befestigung, in der gleichen Oberflächenbehandlung und Farbe wie die Linarte-Wand.</w:t>
      </w:r>
    </w:p>
    <w:p w14:paraId="10988685" w14:textId="77777777" w:rsidR="007A67BC" w:rsidRPr="00A364D1" w:rsidRDefault="007A67BC" w:rsidP="007A67BC">
      <w:pPr>
        <w:pStyle w:val="Heading3"/>
        <w:rPr>
          <w:sz w:val="20"/>
          <w:szCs w:val="20"/>
          <w:lang w:val="de-DE"/>
        </w:rPr>
      </w:pPr>
    </w:p>
    <w:p w14:paraId="466D6166" w14:textId="77777777" w:rsidR="007A67BC" w:rsidRPr="00A364D1" w:rsidRDefault="007A67BC" w:rsidP="007A67BC">
      <w:pPr>
        <w:pStyle w:val="Heading3"/>
        <w:rPr>
          <w:sz w:val="20"/>
          <w:szCs w:val="20"/>
          <w:lang w:val="de-DE"/>
        </w:rPr>
      </w:pPr>
      <w:r w:rsidRPr="00A364D1">
        <w:rPr>
          <w:sz w:val="20"/>
          <w:szCs w:val="20"/>
          <w:lang w:val="de-DE"/>
        </w:rPr>
        <w:t>Integration von Toren und Türen:</w:t>
      </w:r>
    </w:p>
    <w:p w14:paraId="6D3E7206" w14:textId="77777777" w:rsidR="007A67BC" w:rsidRPr="00A364D1" w:rsidRDefault="00A364D1" w:rsidP="00E9148A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Abschluss</w:t>
      </w:r>
      <w:r w:rsidR="007A67BC" w:rsidRPr="00A364D1">
        <w:rPr>
          <w:sz w:val="18"/>
          <w:szCs w:val="18"/>
          <w:lang w:val="de-DE"/>
        </w:rPr>
        <w:t>profile für an und neben Toren und Türen</w:t>
      </w:r>
    </w:p>
    <w:p w14:paraId="0FA94692" w14:textId="77777777" w:rsidR="007A67BC" w:rsidRPr="00A364D1" w:rsidRDefault="007A67BC" w:rsidP="00E9148A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  <w:r w:rsidRPr="00A364D1">
        <w:rPr>
          <w:sz w:val="18"/>
          <w:szCs w:val="18"/>
          <w:lang w:val="de-DE"/>
        </w:rPr>
        <w:t xml:space="preserve">Montageprofil zur Montage eines optischen Sensors Typ </w:t>
      </w:r>
      <w:proofErr w:type="spellStart"/>
      <w:r w:rsidRPr="00A364D1">
        <w:rPr>
          <w:sz w:val="18"/>
          <w:szCs w:val="18"/>
          <w:lang w:val="de-DE"/>
        </w:rPr>
        <w:t>Cedes</w:t>
      </w:r>
      <w:proofErr w:type="spellEnd"/>
      <w:r w:rsidRPr="00A364D1">
        <w:rPr>
          <w:sz w:val="18"/>
          <w:szCs w:val="18"/>
          <w:lang w:val="de-DE"/>
        </w:rPr>
        <w:t xml:space="preserve"> </w:t>
      </w:r>
      <w:proofErr w:type="spellStart"/>
      <w:r w:rsidRPr="00A364D1">
        <w:rPr>
          <w:sz w:val="18"/>
          <w:szCs w:val="18"/>
          <w:lang w:val="de-DE"/>
        </w:rPr>
        <w:t>GridScan</w:t>
      </w:r>
      <w:proofErr w:type="spellEnd"/>
      <w:r w:rsidRPr="00A364D1">
        <w:rPr>
          <w:sz w:val="18"/>
          <w:szCs w:val="18"/>
          <w:lang w:val="de-DE"/>
        </w:rPr>
        <w:t>/Mini (e</w:t>
      </w:r>
      <w:r w:rsidR="00A364D1">
        <w:rPr>
          <w:sz w:val="18"/>
          <w:szCs w:val="18"/>
          <w:lang w:val="de-DE"/>
        </w:rPr>
        <w:t>xcl.</w:t>
      </w:r>
      <w:r w:rsidRPr="00A364D1">
        <w:rPr>
          <w:sz w:val="18"/>
          <w:szCs w:val="18"/>
          <w:lang w:val="de-DE"/>
        </w:rPr>
        <w:t>) für Sektionaltore</w:t>
      </w:r>
    </w:p>
    <w:p w14:paraId="6C050236" w14:textId="72E948E4" w:rsidR="007A67BC" w:rsidRPr="00A364D1" w:rsidRDefault="007A67BC" w:rsidP="00E9148A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  <w:r w:rsidRPr="00A364D1">
        <w:rPr>
          <w:sz w:val="18"/>
          <w:szCs w:val="18"/>
          <w:lang w:val="de-DE"/>
        </w:rPr>
        <w:t xml:space="preserve">Abgesenkte Clips zur Befestigung der </w:t>
      </w:r>
      <w:proofErr w:type="spellStart"/>
      <w:r w:rsidRPr="00A364D1">
        <w:rPr>
          <w:sz w:val="18"/>
          <w:szCs w:val="18"/>
          <w:lang w:val="de-DE"/>
        </w:rPr>
        <w:t>Linarte</w:t>
      </w:r>
      <w:proofErr w:type="spellEnd"/>
      <w:r w:rsidRPr="00A364D1">
        <w:rPr>
          <w:sz w:val="18"/>
          <w:szCs w:val="18"/>
          <w:lang w:val="de-DE"/>
        </w:rPr>
        <w:t xml:space="preserve">-Profile an einer </w:t>
      </w:r>
      <w:proofErr w:type="spellStart"/>
      <w:r w:rsidRPr="00A364D1">
        <w:rPr>
          <w:sz w:val="18"/>
          <w:szCs w:val="18"/>
          <w:lang w:val="de-DE"/>
        </w:rPr>
        <w:t>Kipptür</w:t>
      </w:r>
      <w:proofErr w:type="spellEnd"/>
      <w:r w:rsidRPr="00A364D1">
        <w:rPr>
          <w:sz w:val="18"/>
          <w:szCs w:val="18"/>
          <w:lang w:val="de-DE"/>
        </w:rPr>
        <w:t xml:space="preserve"> (maximale Systemtiefe für BLOCK </w:t>
      </w:r>
      <w:r w:rsidR="00E50F62">
        <w:rPr>
          <w:sz w:val="18"/>
          <w:szCs w:val="18"/>
          <w:lang w:val="de-DE"/>
        </w:rPr>
        <w:t>25</w:t>
      </w:r>
      <w:r w:rsidRPr="00A364D1">
        <w:rPr>
          <w:sz w:val="18"/>
          <w:szCs w:val="18"/>
          <w:lang w:val="de-DE"/>
        </w:rPr>
        <w:t>: 4</w:t>
      </w:r>
      <w:r w:rsidR="00E50F62">
        <w:rPr>
          <w:sz w:val="18"/>
          <w:szCs w:val="18"/>
          <w:lang w:val="de-DE"/>
        </w:rPr>
        <w:t>1</w:t>
      </w:r>
      <w:r w:rsidRPr="00A364D1">
        <w:rPr>
          <w:sz w:val="18"/>
          <w:szCs w:val="18"/>
          <w:lang w:val="de-DE"/>
        </w:rPr>
        <w:t xml:space="preserve"> mm)</w:t>
      </w:r>
    </w:p>
    <w:p w14:paraId="1732D425" w14:textId="77777777" w:rsidR="007A67BC" w:rsidRPr="00A364D1" w:rsidRDefault="007A67BC" w:rsidP="007A67BC">
      <w:pPr>
        <w:pStyle w:val="Heading3"/>
        <w:rPr>
          <w:sz w:val="20"/>
          <w:szCs w:val="20"/>
          <w:lang w:val="de-DE"/>
        </w:rPr>
      </w:pPr>
    </w:p>
    <w:p w14:paraId="1401531B" w14:textId="77777777" w:rsidR="007A67BC" w:rsidRPr="00A364D1" w:rsidRDefault="007A67BC" w:rsidP="007A67BC">
      <w:pPr>
        <w:pStyle w:val="Heading3"/>
        <w:rPr>
          <w:sz w:val="20"/>
          <w:szCs w:val="20"/>
          <w:lang w:val="de-DE"/>
        </w:rPr>
      </w:pPr>
      <w:r w:rsidRPr="00A364D1">
        <w:rPr>
          <w:sz w:val="20"/>
          <w:szCs w:val="20"/>
          <w:lang w:val="de-DE"/>
        </w:rPr>
        <w:t>Halboffene Fensterverkleidung:</w:t>
      </w:r>
    </w:p>
    <w:p w14:paraId="11DDE71D" w14:textId="77777777" w:rsidR="007A67BC" w:rsidRPr="00A364D1" w:rsidRDefault="007A67BC" w:rsidP="00E9148A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  <w:r w:rsidRPr="00A364D1">
        <w:rPr>
          <w:sz w:val="18"/>
          <w:szCs w:val="18"/>
          <w:lang w:val="de-DE"/>
        </w:rPr>
        <w:t>Die vor dem Fenster laufenden Profile werden hinten mit einem Abdeckprofil ästhetisch abgeschlossen.</w:t>
      </w:r>
    </w:p>
    <w:p w14:paraId="08F7EEC6" w14:textId="77777777" w:rsidR="007A67BC" w:rsidRPr="007A67BC" w:rsidRDefault="007A67BC" w:rsidP="007A67BC">
      <w:pPr>
        <w:pStyle w:val="Heading3"/>
        <w:rPr>
          <w:sz w:val="20"/>
          <w:szCs w:val="20"/>
          <w:lang w:val="de-DE"/>
        </w:rPr>
      </w:pPr>
    </w:p>
    <w:p w14:paraId="2A8FCDFD" w14:textId="609BF0A5" w:rsidR="00E9148A" w:rsidRPr="00550747" w:rsidRDefault="00E9148A" w:rsidP="00E9148A">
      <w:pPr>
        <w:rPr>
          <w:b/>
          <w:sz w:val="18"/>
          <w:szCs w:val="18"/>
          <w:lang w:val="de-DE"/>
        </w:rPr>
      </w:pPr>
      <w:r w:rsidRPr="00550747">
        <w:rPr>
          <w:b/>
          <w:bCs/>
          <w:sz w:val="18"/>
          <w:szCs w:val="18"/>
          <w:lang w:val="de-DE"/>
        </w:rPr>
        <w:t>Die Profile EVEN und BLOCK</w:t>
      </w:r>
      <w:r w:rsidR="00E50F62">
        <w:rPr>
          <w:b/>
          <w:bCs/>
          <w:sz w:val="18"/>
          <w:szCs w:val="18"/>
          <w:vertAlign w:val="superscript"/>
          <w:lang w:val="de-DE"/>
        </w:rPr>
        <w:t>25</w:t>
      </w:r>
      <w:r w:rsidRPr="00550747">
        <w:rPr>
          <w:b/>
          <w:bCs/>
          <w:sz w:val="18"/>
          <w:szCs w:val="18"/>
          <w:vertAlign w:val="superscript"/>
          <w:lang w:val="de-DE"/>
        </w:rPr>
        <w:t xml:space="preserve"> </w:t>
      </w:r>
      <w:r w:rsidRPr="00550747">
        <w:rPr>
          <w:b/>
          <w:bCs/>
          <w:sz w:val="18"/>
          <w:szCs w:val="18"/>
          <w:lang w:val="de-DE"/>
        </w:rPr>
        <w:t xml:space="preserve">können durch Einsätze in LED oder Holz personalisiert werden. </w:t>
      </w:r>
      <w:r w:rsidRPr="00550747">
        <w:rPr>
          <w:sz w:val="18"/>
          <w:szCs w:val="18"/>
          <w:lang w:val="de-DE"/>
        </w:rPr>
        <w:br/>
      </w:r>
      <w:r w:rsidRPr="00550747">
        <w:rPr>
          <w:b/>
          <w:bCs/>
          <w:sz w:val="18"/>
          <w:szCs w:val="18"/>
          <w:lang w:val="de-DE"/>
        </w:rPr>
        <w:t>Diese können auch zu einem späteren Zeitpunkt angebracht werden.</w:t>
      </w:r>
      <w:r w:rsidRPr="00550747">
        <w:rPr>
          <w:sz w:val="18"/>
          <w:szCs w:val="18"/>
          <w:lang w:val="de-DE"/>
        </w:rPr>
        <w:br/>
      </w:r>
    </w:p>
    <w:p w14:paraId="69DE3541" w14:textId="77777777" w:rsidR="007A67BC" w:rsidRPr="007A67BC" w:rsidRDefault="007A67BC" w:rsidP="007A67BC">
      <w:pPr>
        <w:pStyle w:val="Heading3"/>
        <w:rPr>
          <w:sz w:val="20"/>
          <w:szCs w:val="20"/>
          <w:lang w:val="de-DE"/>
        </w:rPr>
      </w:pPr>
      <w:r w:rsidRPr="007A67BC">
        <w:rPr>
          <w:sz w:val="20"/>
          <w:szCs w:val="20"/>
          <w:lang w:val="de-DE"/>
        </w:rPr>
        <w:t>LED-Module:</w:t>
      </w:r>
    </w:p>
    <w:p w14:paraId="0CADF05C" w14:textId="77777777" w:rsidR="00E9148A" w:rsidRPr="00E9148A" w:rsidRDefault="00E9148A" w:rsidP="00E9148A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  <w:r w:rsidRPr="00E9148A">
        <w:rPr>
          <w:sz w:val="18"/>
          <w:szCs w:val="18"/>
          <w:lang w:val="de-DE"/>
        </w:rPr>
        <w:t>24 V, IP67 Gefülltes Profil ohne Diffusor. Erhältlich in Längen von 267, 455, 830 oder 1205 mm. Inklusive Steckverbinder. Warmweißes Licht +/- 3.500 K. Dimmbar.</w:t>
      </w:r>
    </w:p>
    <w:p w14:paraId="07EAA290" w14:textId="77777777" w:rsidR="007A67BC" w:rsidRPr="00E9148A" w:rsidRDefault="007A67BC" w:rsidP="007A67BC">
      <w:pPr>
        <w:pStyle w:val="Heading3"/>
        <w:rPr>
          <w:sz w:val="18"/>
          <w:szCs w:val="18"/>
          <w:lang w:val="de-DE"/>
        </w:rPr>
      </w:pPr>
    </w:p>
    <w:p w14:paraId="4F6B1713" w14:textId="77777777" w:rsidR="007A67BC" w:rsidRPr="007A67BC" w:rsidRDefault="007A67BC" w:rsidP="007A67BC">
      <w:pPr>
        <w:pStyle w:val="Heading3"/>
        <w:rPr>
          <w:sz w:val="20"/>
          <w:szCs w:val="20"/>
          <w:lang w:val="de-DE"/>
        </w:rPr>
      </w:pPr>
      <w:r w:rsidRPr="007A67BC">
        <w:rPr>
          <w:sz w:val="20"/>
          <w:szCs w:val="20"/>
          <w:lang w:val="de-DE"/>
        </w:rPr>
        <w:t>Indirekte LED-Beleuchtung:</w:t>
      </w:r>
    </w:p>
    <w:p w14:paraId="5A61068C" w14:textId="77777777" w:rsidR="007A67BC" w:rsidRPr="00E9148A" w:rsidRDefault="007A67BC" w:rsidP="00E9148A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de-DE"/>
        </w:rPr>
      </w:pPr>
      <w:r w:rsidRPr="00E9148A">
        <w:rPr>
          <w:sz w:val="18"/>
          <w:szCs w:val="18"/>
          <w:lang w:val="de-DE"/>
        </w:rPr>
        <w:t>24V, IP66 LED-Streifen. Erhältlich in Längen bis zu 6200 mm. Wird an der Unterseite des Linarte-Trägerprofils montiert. Warmweißes Licht +/- 3000K.</w:t>
      </w:r>
    </w:p>
    <w:p w14:paraId="5745101C" w14:textId="77777777" w:rsidR="007A67BC" w:rsidRPr="00E9148A" w:rsidRDefault="007A67BC" w:rsidP="007A67BC">
      <w:pPr>
        <w:pStyle w:val="Heading3"/>
        <w:rPr>
          <w:sz w:val="18"/>
          <w:szCs w:val="18"/>
          <w:lang w:val="de-DE"/>
        </w:rPr>
      </w:pPr>
    </w:p>
    <w:p w14:paraId="0F87E78E" w14:textId="77777777" w:rsidR="00E9148A" w:rsidRPr="00550747" w:rsidRDefault="00E9148A" w:rsidP="00E9148A">
      <w:pPr>
        <w:pStyle w:val="Heading3"/>
        <w:rPr>
          <w:sz w:val="20"/>
          <w:szCs w:val="20"/>
          <w:lang w:val="de-DE"/>
        </w:rPr>
      </w:pPr>
      <w:r w:rsidRPr="00550747">
        <w:rPr>
          <w:sz w:val="20"/>
          <w:szCs w:val="20"/>
          <w:lang w:val="de-DE"/>
        </w:rPr>
        <w:t>Holzeinsätze:</w:t>
      </w:r>
    </w:p>
    <w:p w14:paraId="6BCADCD8" w14:textId="77777777" w:rsidR="007A67BC" w:rsidRPr="00E9148A" w:rsidRDefault="00E9148A" w:rsidP="00E9148A">
      <w:pPr>
        <w:pStyle w:val="ListParagraph"/>
        <w:numPr>
          <w:ilvl w:val="0"/>
          <w:numId w:val="25"/>
        </w:numPr>
        <w:rPr>
          <w:sz w:val="18"/>
          <w:szCs w:val="18"/>
          <w:lang w:val="de-DE"/>
        </w:rPr>
      </w:pPr>
      <w:r w:rsidRPr="00E9148A">
        <w:rPr>
          <w:sz w:val="18"/>
          <w:szCs w:val="18"/>
          <w:lang w:val="de-DE"/>
        </w:rPr>
        <w:t xml:space="preserve">Thermo-Asche, erhältlich in Längen von 267, 455, 830 oder 1205 mm. </w:t>
      </w:r>
      <w:r w:rsidR="007A67BC" w:rsidRPr="00E9148A">
        <w:rPr>
          <w:sz w:val="18"/>
          <w:szCs w:val="18"/>
          <w:lang w:val="de-DE"/>
        </w:rPr>
        <w:t xml:space="preserve"> Kann mit einem festen oder abnehmbaren Kunststoff-Clip-System befestigt werden.</w:t>
      </w:r>
    </w:p>
    <w:p w14:paraId="60873564" w14:textId="77777777" w:rsidR="007A67BC" w:rsidRPr="00E9148A" w:rsidRDefault="007A67BC" w:rsidP="007A67BC">
      <w:pPr>
        <w:pStyle w:val="Heading3"/>
        <w:rPr>
          <w:sz w:val="18"/>
          <w:szCs w:val="18"/>
          <w:lang w:val="de-DE"/>
        </w:rPr>
      </w:pPr>
    </w:p>
    <w:p w14:paraId="3E181EF6" w14:textId="77777777" w:rsidR="007A67BC" w:rsidRPr="007A67BC" w:rsidRDefault="007A67BC" w:rsidP="007A67BC">
      <w:pPr>
        <w:pStyle w:val="Heading3"/>
        <w:rPr>
          <w:sz w:val="20"/>
          <w:szCs w:val="20"/>
          <w:lang w:val="de-DE"/>
        </w:rPr>
      </w:pPr>
      <w:r w:rsidRPr="007A67BC">
        <w:rPr>
          <w:sz w:val="20"/>
          <w:szCs w:val="20"/>
          <w:lang w:val="de-DE"/>
        </w:rPr>
        <w:t>Hausnummern:</w:t>
      </w:r>
    </w:p>
    <w:p w14:paraId="3E6890D8" w14:textId="77777777" w:rsidR="007A67BC" w:rsidRPr="00E9148A" w:rsidRDefault="007A67BC" w:rsidP="00E9148A">
      <w:pPr>
        <w:pStyle w:val="ListParagraph"/>
        <w:numPr>
          <w:ilvl w:val="0"/>
          <w:numId w:val="25"/>
        </w:numPr>
        <w:rPr>
          <w:sz w:val="18"/>
          <w:szCs w:val="18"/>
          <w:lang w:val="de-DE"/>
        </w:rPr>
      </w:pPr>
      <w:r w:rsidRPr="00E9148A">
        <w:rPr>
          <w:sz w:val="18"/>
          <w:szCs w:val="18"/>
          <w:lang w:val="de-DE"/>
        </w:rPr>
        <w:t>Zahlen von 0 bis 9, Indizes von A bis D in Holzfüllungen (Thermo-es). Einsetzbar in den EVEN-Profilen, Höhe +/- 420 mm.</w:t>
      </w:r>
    </w:p>
    <w:p w14:paraId="4C898144" w14:textId="77777777" w:rsidR="007A67BC" w:rsidRPr="00E9148A" w:rsidRDefault="007A67BC" w:rsidP="007A67BC">
      <w:pPr>
        <w:pStyle w:val="Heading3"/>
        <w:rPr>
          <w:sz w:val="18"/>
          <w:szCs w:val="18"/>
          <w:lang w:val="de-DE"/>
        </w:rPr>
      </w:pPr>
    </w:p>
    <w:p w14:paraId="5230DC87" w14:textId="77777777" w:rsidR="00E9148A" w:rsidRDefault="00E9148A" w:rsidP="00E9148A">
      <w:pPr>
        <w:pStyle w:val="Heading3"/>
        <w:rPr>
          <w:sz w:val="20"/>
          <w:szCs w:val="20"/>
          <w:lang w:val="de-DE"/>
        </w:rPr>
      </w:pPr>
      <w:r w:rsidRPr="00550747">
        <w:rPr>
          <w:sz w:val="20"/>
          <w:szCs w:val="20"/>
          <w:lang w:val="de-DE"/>
        </w:rPr>
        <w:t>Integration Funktionalitäten:</w:t>
      </w:r>
    </w:p>
    <w:p w14:paraId="3789042E" w14:textId="77777777" w:rsidR="00E9148A" w:rsidRPr="00E9148A" w:rsidRDefault="00E9148A" w:rsidP="00E9148A">
      <w:pPr>
        <w:pStyle w:val="ListParagraph"/>
        <w:numPr>
          <w:ilvl w:val="0"/>
          <w:numId w:val="25"/>
        </w:numPr>
        <w:rPr>
          <w:sz w:val="18"/>
          <w:szCs w:val="18"/>
          <w:lang w:val="de-DE"/>
        </w:rPr>
      </w:pPr>
      <w:r w:rsidRPr="00E9148A">
        <w:rPr>
          <w:sz w:val="18"/>
          <w:szCs w:val="18"/>
          <w:lang w:val="de-DE"/>
        </w:rPr>
        <w:t>Briefkasten, Gegensprechanlage, Wandsteckdose, Außenwasserhahn werden durch ein gleichfarbig pulverbeschichtetes Aluminium-Faltstück nahtlos in das Gesamtsystem integriert</w:t>
      </w:r>
      <w:r w:rsidRPr="00E9148A">
        <w:rPr>
          <w:sz w:val="18"/>
          <w:szCs w:val="18"/>
          <w:lang w:val="de-DE"/>
        </w:rPr>
        <w:br/>
      </w:r>
    </w:p>
    <w:p w14:paraId="1E722A16" w14:textId="77777777" w:rsidR="007A67BC" w:rsidRPr="007A67BC" w:rsidRDefault="00E9148A" w:rsidP="007A67BC">
      <w:pPr>
        <w:pStyle w:val="Heading3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Brandschutzklammer</w:t>
      </w:r>
      <w:r w:rsidR="007A67BC" w:rsidRPr="007A67BC">
        <w:rPr>
          <w:sz w:val="20"/>
          <w:szCs w:val="20"/>
          <w:lang w:val="de-DE"/>
        </w:rPr>
        <w:t>:</w:t>
      </w:r>
    </w:p>
    <w:p w14:paraId="1CC54B83" w14:textId="77777777" w:rsidR="007A67BC" w:rsidRPr="00E9148A" w:rsidRDefault="007A67BC" w:rsidP="00E9148A">
      <w:pPr>
        <w:pStyle w:val="ListParagraph"/>
        <w:numPr>
          <w:ilvl w:val="0"/>
          <w:numId w:val="25"/>
        </w:numPr>
        <w:rPr>
          <w:sz w:val="18"/>
          <w:szCs w:val="18"/>
          <w:lang w:val="de-DE"/>
        </w:rPr>
      </w:pPr>
      <w:r w:rsidRPr="00E9148A">
        <w:rPr>
          <w:sz w:val="18"/>
          <w:szCs w:val="18"/>
          <w:lang w:val="de-DE"/>
        </w:rPr>
        <w:t>Jedes Linarte-Profil kann bei Bedarf mit einer Brandschutzklammer gesichert werden.</w:t>
      </w:r>
    </w:p>
    <w:p w14:paraId="57EE98EF" w14:textId="77777777" w:rsidR="00F53671" w:rsidRDefault="00F53671" w:rsidP="009F797C">
      <w:pPr>
        <w:rPr>
          <w:sz w:val="18"/>
          <w:szCs w:val="18"/>
          <w:lang w:val="de-DE"/>
        </w:rPr>
      </w:pPr>
    </w:p>
    <w:p w14:paraId="776DF970" w14:textId="77777777" w:rsidR="00E9148A" w:rsidRPr="00550747" w:rsidRDefault="00E9148A" w:rsidP="009F797C">
      <w:pPr>
        <w:rPr>
          <w:sz w:val="18"/>
          <w:szCs w:val="18"/>
          <w:lang w:val="de-DE"/>
        </w:rPr>
      </w:pPr>
    </w:p>
    <w:p w14:paraId="51073E1D" w14:textId="77777777" w:rsidR="009F797C" w:rsidRPr="00550747" w:rsidRDefault="009F797C" w:rsidP="009F797C">
      <w:pPr>
        <w:pStyle w:val="Heading2"/>
        <w:rPr>
          <w:sz w:val="22"/>
          <w:szCs w:val="22"/>
          <w:lang w:val="de-DE"/>
        </w:rPr>
      </w:pPr>
      <w:r w:rsidRPr="00550747">
        <w:rPr>
          <w:bCs/>
          <w:sz w:val="22"/>
          <w:szCs w:val="22"/>
          <w:lang w:val="de-DE"/>
        </w:rPr>
        <w:lastRenderedPageBreak/>
        <w:t>Montage</w:t>
      </w:r>
    </w:p>
    <w:p w14:paraId="1DE6C544" w14:textId="77777777" w:rsidR="009F797C" w:rsidRPr="00550747" w:rsidRDefault="00E9148A" w:rsidP="00947E29">
      <w:pPr>
        <w:tabs>
          <w:tab w:val="left" w:pos="3119"/>
        </w:tabs>
        <w:rPr>
          <w:sz w:val="18"/>
          <w:szCs w:val="18"/>
          <w:lang w:val="de-DE"/>
        </w:rPr>
      </w:pPr>
      <w:r w:rsidRPr="00E9148A">
        <w:rPr>
          <w:sz w:val="18"/>
          <w:szCs w:val="18"/>
          <w:lang w:val="de-DE"/>
        </w:rPr>
        <w:t>Kann als hinterlüftetes Fassadensystem verwendet werden, wenn das Renson-Direktbefestigungssystem verwendet wird, oder wenn die Linarte-Fassadenverkleidung auf einer soliden und ebenen Unterkonstruktion befestigt wird, die fachgerecht installiert wurde und den örtlichen Vorschriften entspricht. Achten Sie auf eine ausreichende Hohlraumdicke.</w:t>
      </w:r>
    </w:p>
    <w:p w14:paraId="392A764E" w14:textId="77777777" w:rsidR="00E46648" w:rsidRPr="00E9148A" w:rsidRDefault="00E46648" w:rsidP="00616AC5">
      <w:pPr>
        <w:pStyle w:val="Heading2"/>
        <w:rPr>
          <w:sz w:val="22"/>
          <w:szCs w:val="22"/>
          <w:lang w:val="de-DE"/>
        </w:rPr>
      </w:pPr>
      <w:r w:rsidRPr="00550747">
        <w:rPr>
          <w:bCs/>
          <w:sz w:val="22"/>
          <w:szCs w:val="22"/>
          <w:lang w:val="de-DE"/>
        </w:rPr>
        <w:t>Normen</w:t>
      </w:r>
    </w:p>
    <w:p w14:paraId="2D095572" w14:textId="77777777" w:rsidR="00897E96" w:rsidRPr="00550747" w:rsidRDefault="00E46648" w:rsidP="00897E96">
      <w:pPr>
        <w:numPr>
          <w:ilvl w:val="0"/>
          <w:numId w:val="2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Aluminiumlegierung: Al Mg Si 0,5 (F25)</w:t>
      </w:r>
      <w:r w:rsidRPr="00550747">
        <w:rPr>
          <w:rFonts w:ascii="Tahoma" w:hAnsi="Tahoma"/>
          <w:sz w:val="18"/>
          <w:szCs w:val="18"/>
          <w:lang w:val="de-DE"/>
        </w:rPr>
        <w:t xml:space="preserve"> </w:t>
      </w:r>
    </w:p>
    <w:p w14:paraId="5A1FB85A" w14:textId="77777777" w:rsidR="00E46648" w:rsidRPr="00550747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550747">
        <w:rPr>
          <w:sz w:val="18"/>
          <w:szCs w:val="18"/>
          <w:lang w:val="de-DE"/>
        </w:rPr>
        <w:t>Normierung: EN AW-6063</w:t>
      </w:r>
    </w:p>
    <w:p w14:paraId="0DF0288B" w14:textId="77777777" w:rsidR="00E46648" w:rsidRPr="00550747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550747">
        <w:rPr>
          <w:sz w:val="18"/>
          <w:szCs w:val="18"/>
          <w:lang w:val="de-DE"/>
        </w:rPr>
        <w:t xml:space="preserve">Härtung: T66 </w:t>
      </w:r>
    </w:p>
    <w:p w14:paraId="515019C9" w14:textId="77777777" w:rsidR="00E46648" w:rsidRPr="00550747" w:rsidRDefault="00E46648" w:rsidP="00E46648">
      <w:pPr>
        <w:pStyle w:val="ListParagraph"/>
        <w:numPr>
          <w:ilvl w:val="0"/>
          <w:numId w:val="22"/>
        </w:numPr>
        <w:rPr>
          <w:sz w:val="18"/>
          <w:szCs w:val="18"/>
        </w:rPr>
      </w:pPr>
      <w:r w:rsidRPr="00550747">
        <w:rPr>
          <w:sz w:val="18"/>
          <w:szCs w:val="18"/>
          <w:lang w:val="de-DE"/>
        </w:rPr>
        <w:t xml:space="preserve">Aluminiumvorbehandlung: </w:t>
      </w:r>
    </w:p>
    <w:p w14:paraId="08FA2431" w14:textId="77777777" w:rsidR="00E46648" w:rsidRPr="00550747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550747">
        <w:rPr>
          <w:sz w:val="18"/>
          <w:szCs w:val="18"/>
          <w:lang w:val="de-DE"/>
        </w:rPr>
        <w:t xml:space="preserve">Norm DIN 50021 SS </w:t>
      </w:r>
    </w:p>
    <w:p w14:paraId="7F4B1C0D" w14:textId="77777777" w:rsidR="00E46648" w:rsidRPr="00550747" w:rsidRDefault="00E46648" w:rsidP="00E46648">
      <w:pPr>
        <w:pStyle w:val="ListParagraph"/>
        <w:numPr>
          <w:ilvl w:val="0"/>
          <w:numId w:val="22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 xml:space="preserve">Festigkeitsberechnungen basieren auf den folgenden Normen: </w:t>
      </w:r>
    </w:p>
    <w:p w14:paraId="7F801E06" w14:textId="3C4A8607" w:rsidR="00E46648" w:rsidRPr="00550747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550747">
        <w:rPr>
          <w:sz w:val="18"/>
          <w:szCs w:val="18"/>
          <w:lang w:val="de-DE"/>
        </w:rPr>
        <w:t>EN 1999-1-1: Berechnung von Aluminiumkonstruktionen</w:t>
      </w:r>
    </w:p>
    <w:p w14:paraId="710CBD65" w14:textId="77777777" w:rsidR="00E46648" w:rsidRPr="00550747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550747">
        <w:rPr>
          <w:sz w:val="18"/>
          <w:szCs w:val="18"/>
          <w:lang w:val="de-DE"/>
        </w:rPr>
        <w:t>NBN B-03-002-2: Windbelastung – dynamische Effekte</w:t>
      </w:r>
    </w:p>
    <w:p w14:paraId="10CAB737" w14:textId="77777777" w:rsidR="00EB30DD" w:rsidRPr="00550747" w:rsidRDefault="009F797C" w:rsidP="00EB30DD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550747">
        <w:rPr>
          <w:sz w:val="18"/>
          <w:szCs w:val="18"/>
          <w:lang w:val="de-DE"/>
        </w:rPr>
        <w:t>EN 1991-1-4: Windbelastung</w:t>
      </w:r>
    </w:p>
    <w:p w14:paraId="4BE385A2" w14:textId="77777777" w:rsidR="00EB30DD" w:rsidRPr="00550747" w:rsidRDefault="00EB30DD" w:rsidP="00EB30DD">
      <w:pPr>
        <w:pStyle w:val="ListParagraph"/>
        <w:numPr>
          <w:ilvl w:val="0"/>
          <w:numId w:val="22"/>
        </w:numPr>
        <w:rPr>
          <w:sz w:val="18"/>
          <w:szCs w:val="18"/>
        </w:rPr>
      </w:pPr>
      <w:proofErr w:type="spellStart"/>
      <w:r w:rsidRPr="00550747">
        <w:rPr>
          <w:sz w:val="18"/>
          <w:szCs w:val="18"/>
        </w:rPr>
        <w:t>Feuerwiderstand</w:t>
      </w:r>
      <w:proofErr w:type="spellEnd"/>
      <w:r w:rsidR="000A3026" w:rsidRPr="00550747">
        <w:rPr>
          <w:sz w:val="18"/>
          <w:szCs w:val="18"/>
        </w:rPr>
        <w:t>: B-s1, d0</w:t>
      </w:r>
    </w:p>
    <w:p w14:paraId="728A6AB8" w14:textId="77777777" w:rsidR="000A3026" w:rsidRPr="00550747" w:rsidRDefault="00EB30DD" w:rsidP="00EB30DD">
      <w:pPr>
        <w:pStyle w:val="ListParagraph"/>
        <w:numPr>
          <w:ilvl w:val="1"/>
          <w:numId w:val="22"/>
        </w:numPr>
        <w:rPr>
          <w:sz w:val="18"/>
          <w:szCs w:val="18"/>
          <w:lang w:val="de-DE"/>
        </w:rPr>
      </w:pPr>
      <w:r w:rsidRPr="00550747">
        <w:rPr>
          <w:sz w:val="18"/>
          <w:szCs w:val="18"/>
          <w:lang w:val="de-DE"/>
        </w:rPr>
        <w:t>Klassifizierung des Brandverhaltens gemäß DIN</w:t>
      </w:r>
      <w:r w:rsidR="000A3026" w:rsidRPr="00550747">
        <w:rPr>
          <w:sz w:val="18"/>
          <w:szCs w:val="18"/>
          <w:lang w:val="de-DE"/>
        </w:rPr>
        <w:t xml:space="preserve"> EN 13501-1: 2013</w:t>
      </w:r>
    </w:p>
    <w:sectPr w:rsidR="000A3026" w:rsidRPr="00550747" w:rsidSect="00947E29">
      <w:headerReference w:type="default" r:id="rId11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18EB" w14:textId="77777777" w:rsidR="004E70E8" w:rsidRDefault="004E70E8" w:rsidP="008C40B3">
      <w:pPr>
        <w:spacing w:after="0" w:line="240" w:lineRule="auto"/>
      </w:pPr>
      <w:r>
        <w:separator/>
      </w:r>
    </w:p>
  </w:endnote>
  <w:endnote w:type="continuationSeparator" w:id="0">
    <w:p w14:paraId="0A1B72F3" w14:textId="77777777" w:rsidR="004E70E8" w:rsidRDefault="004E70E8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E087" w14:textId="77777777" w:rsidR="004E70E8" w:rsidRDefault="004E70E8" w:rsidP="008C40B3">
      <w:pPr>
        <w:spacing w:after="0" w:line="240" w:lineRule="auto"/>
      </w:pPr>
      <w:r>
        <w:separator/>
      </w:r>
    </w:p>
  </w:footnote>
  <w:footnote w:type="continuationSeparator" w:id="0">
    <w:p w14:paraId="4843FC3C" w14:textId="77777777" w:rsidR="004E70E8" w:rsidRDefault="004E70E8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098" w14:textId="77777777" w:rsidR="008C40B3" w:rsidRPr="00DA5964" w:rsidRDefault="00BB5A4D" w:rsidP="00616AC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  <w:lang w:val="de-DE"/>
      </w:rPr>
    </w:pPr>
    <w:proofErr w:type="spellStart"/>
    <w:r>
      <w:rPr>
        <w:b/>
        <w:bCs/>
        <w:sz w:val="28"/>
        <w:szCs w:val="28"/>
        <w:lang w:val="de-DE"/>
      </w:rPr>
      <w:t>Linarte</w:t>
    </w:r>
    <w:proofErr w:type="spellEnd"/>
    <w:r>
      <w:rPr>
        <w:b/>
        <w:bCs/>
        <w:sz w:val="28"/>
        <w:szCs w:val="28"/>
        <w:lang w:val="de-DE"/>
      </w:rPr>
      <w:t>® - Aluminiumdesign Fassadenverkleidung</w:t>
    </w:r>
  </w:p>
  <w:p w14:paraId="571293BB" w14:textId="77777777" w:rsidR="00DA5964" w:rsidRPr="00DA5964" w:rsidRDefault="00DA5964" w:rsidP="00DA596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DA5964">
      <w:t xml:space="preserve">Renson NV, Maalbeekstraat 10, 8790 Waregem – </w:t>
    </w:r>
    <w:proofErr w:type="spellStart"/>
    <w:r w:rsidRPr="00DA5964">
      <w:t>Belgien</w:t>
    </w:r>
    <w:proofErr w:type="spellEnd"/>
  </w:p>
  <w:p w14:paraId="4946966C" w14:textId="670FC1BB" w:rsidR="00616AC5" w:rsidRPr="00DA5964" w:rsidRDefault="00DA5964" w:rsidP="00DA596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  <w:lang w:val="de-DE"/>
      </w:rPr>
    </w:pPr>
    <w:r w:rsidRPr="00DA5964">
      <w:rPr>
        <w:lang w:val="de-DE"/>
      </w:rPr>
      <w:t xml:space="preserve">Tel. +49 (0)406 687 0140, </w:t>
    </w:r>
    <w:hyperlink r:id="rId1" w:history="1">
      <w:r w:rsidRPr="00DA5964">
        <w:rPr>
          <w:rStyle w:val="Hyperlink"/>
          <w:lang w:val="de-DE"/>
        </w:rPr>
        <w:t>architektensupport@renson.net</w:t>
      </w:r>
    </w:hyperlink>
    <w:r w:rsidRPr="00DA5964">
      <w:rPr>
        <w:lang w:val="de-DE"/>
      </w:rPr>
      <w:t>, www.renson.eu</w:t>
    </w:r>
  </w:p>
  <w:p w14:paraId="340597B5" w14:textId="77777777" w:rsidR="00616AC5" w:rsidRPr="00DA5964" w:rsidRDefault="00616AC5" w:rsidP="00616AC5">
    <w:pPr>
      <w:pStyle w:val="Header"/>
      <w:rPr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BD9"/>
    <w:multiLevelType w:val="hybridMultilevel"/>
    <w:tmpl w:val="898682B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11B"/>
    <w:multiLevelType w:val="hybridMultilevel"/>
    <w:tmpl w:val="ADC4B7C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435"/>
    <w:multiLevelType w:val="hybridMultilevel"/>
    <w:tmpl w:val="FE56B6DE"/>
    <w:lvl w:ilvl="0" w:tplc="AF5496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0B43"/>
    <w:multiLevelType w:val="hybridMultilevel"/>
    <w:tmpl w:val="53263D74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E7116"/>
    <w:multiLevelType w:val="hybridMultilevel"/>
    <w:tmpl w:val="B9D00A54"/>
    <w:lvl w:ilvl="0" w:tplc="6DAE2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0E6911"/>
    <w:multiLevelType w:val="hybridMultilevel"/>
    <w:tmpl w:val="C8F4E644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87A667B8">
      <w:numFmt w:val="bullet"/>
      <w:lvlText w:val="-"/>
      <w:lvlJc w:val="left"/>
      <w:pPr>
        <w:ind w:left="624" w:hanging="284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C5C11"/>
    <w:multiLevelType w:val="hybridMultilevel"/>
    <w:tmpl w:val="2E06F5FE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2089F"/>
    <w:multiLevelType w:val="hybridMultilevel"/>
    <w:tmpl w:val="F1B2B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50EEE"/>
    <w:multiLevelType w:val="hybridMultilevel"/>
    <w:tmpl w:val="C9D0AAD4"/>
    <w:lvl w:ilvl="0" w:tplc="038AF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C7B4A"/>
    <w:multiLevelType w:val="hybridMultilevel"/>
    <w:tmpl w:val="435466D2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72D9E"/>
    <w:multiLevelType w:val="hybridMultilevel"/>
    <w:tmpl w:val="6FB0136E"/>
    <w:lvl w:ilvl="0" w:tplc="F620DC4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A15E1"/>
    <w:multiLevelType w:val="hybridMultilevel"/>
    <w:tmpl w:val="275686A8"/>
    <w:lvl w:ilvl="0" w:tplc="038AF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363EE"/>
    <w:multiLevelType w:val="hybridMultilevel"/>
    <w:tmpl w:val="F1445AD8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54E53"/>
    <w:multiLevelType w:val="hybridMultilevel"/>
    <w:tmpl w:val="EA22DDBA"/>
    <w:lvl w:ilvl="0" w:tplc="067E538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92B15"/>
    <w:multiLevelType w:val="hybridMultilevel"/>
    <w:tmpl w:val="DD60467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3B02DB8"/>
    <w:multiLevelType w:val="hybridMultilevel"/>
    <w:tmpl w:val="755A5760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657C20DD"/>
    <w:multiLevelType w:val="hybridMultilevel"/>
    <w:tmpl w:val="EB10737C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50FFF"/>
    <w:multiLevelType w:val="hybridMultilevel"/>
    <w:tmpl w:val="DB6C786A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7C0A4FAC"/>
    <w:multiLevelType w:val="hybridMultilevel"/>
    <w:tmpl w:val="B55C113E"/>
    <w:lvl w:ilvl="0" w:tplc="5AACE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CEE0A8E"/>
    <w:multiLevelType w:val="hybridMultilevel"/>
    <w:tmpl w:val="4B3EF2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9221">
    <w:abstractNumId w:val="15"/>
  </w:num>
  <w:num w:numId="2" w16cid:durableId="605887423">
    <w:abstractNumId w:val="6"/>
  </w:num>
  <w:num w:numId="3" w16cid:durableId="853959901">
    <w:abstractNumId w:val="12"/>
  </w:num>
  <w:num w:numId="4" w16cid:durableId="1199468550">
    <w:abstractNumId w:val="24"/>
  </w:num>
  <w:num w:numId="5" w16cid:durableId="301816043">
    <w:abstractNumId w:val="2"/>
  </w:num>
  <w:num w:numId="6" w16cid:durableId="1881046595">
    <w:abstractNumId w:val="10"/>
  </w:num>
  <w:num w:numId="7" w16cid:durableId="1433545911">
    <w:abstractNumId w:val="26"/>
  </w:num>
  <w:num w:numId="8" w16cid:durableId="2069303640">
    <w:abstractNumId w:val="29"/>
  </w:num>
  <w:num w:numId="9" w16cid:durableId="1512404367">
    <w:abstractNumId w:val="17"/>
  </w:num>
  <w:num w:numId="10" w16cid:durableId="1793939101">
    <w:abstractNumId w:val="34"/>
  </w:num>
  <w:num w:numId="11" w16cid:durableId="1925340746">
    <w:abstractNumId w:val="39"/>
  </w:num>
  <w:num w:numId="12" w16cid:durableId="1292128266">
    <w:abstractNumId w:val="8"/>
  </w:num>
  <w:num w:numId="13" w16cid:durableId="263077228">
    <w:abstractNumId w:val="36"/>
  </w:num>
  <w:num w:numId="14" w16cid:durableId="180627557">
    <w:abstractNumId w:val="20"/>
  </w:num>
  <w:num w:numId="15" w16cid:durableId="585842460">
    <w:abstractNumId w:val="7"/>
  </w:num>
  <w:num w:numId="16" w16cid:durableId="1189104696">
    <w:abstractNumId w:val="0"/>
  </w:num>
  <w:num w:numId="17" w16cid:durableId="293291903">
    <w:abstractNumId w:val="35"/>
  </w:num>
  <w:num w:numId="18" w16cid:durableId="877816360">
    <w:abstractNumId w:val="30"/>
  </w:num>
  <w:num w:numId="19" w16cid:durableId="735512782">
    <w:abstractNumId w:val="18"/>
  </w:num>
  <w:num w:numId="20" w16cid:durableId="1988044852">
    <w:abstractNumId w:val="27"/>
  </w:num>
  <w:num w:numId="21" w16cid:durableId="2038776955">
    <w:abstractNumId w:val="16"/>
  </w:num>
  <w:num w:numId="22" w16cid:durableId="966743406">
    <w:abstractNumId w:val="13"/>
  </w:num>
  <w:num w:numId="23" w16cid:durableId="749814548">
    <w:abstractNumId w:val="33"/>
  </w:num>
  <w:num w:numId="24" w16cid:durableId="185757121">
    <w:abstractNumId w:val="31"/>
  </w:num>
  <w:num w:numId="25" w16cid:durableId="1364747940">
    <w:abstractNumId w:val="21"/>
  </w:num>
  <w:num w:numId="26" w16cid:durableId="1283343133">
    <w:abstractNumId w:val="1"/>
  </w:num>
  <w:num w:numId="27" w16cid:durableId="73940465">
    <w:abstractNumId w:val="3"/>
  </w:num>
  <w:num w:numId="28" w16cid:durableId="1519125658">
    <w:abstractNumId w:val="14"/>
  </w:num>
  <w:num w:numId="29" w16cid:durableId="823661987">
    <w:abstractNumId w:val="9"/>
  </w:num>
  <w:num w:numId="30" w16cid:durableId="610940112">
    <w:abstractNumId w:val="28"/>
  </w:num>
  <w:num w:numId="31" w16cid:durableId="240651111">
    <w:abstractNumId w:val="38"/>
  </w:num>
  <w:num w:numId="32" w16cid:durableId="226575499">
    <w:abstractNumId w:val="4"/>
  </w:num>
  <w:num w:numId="33" w16cid:durableId="711153901">
    <w:abstractNumId w:val="11"/>
  </w:num>
  <w:num w:numId="34" w16cid:durableId="1611821179">
    <w:abstractNumId w:val="5"/>
  </w:num>
  <w:num w:numId="35" w16cid:durableId="1677875980">
    <w:abstractNumId w:val="22"/>
  </w:num>
  <w:num w:numId="36" w16cid:durableId="1245067063">
    <w:abstractNumId w:val="25"/>
  </w:num>
  <w:num w:numId="37" w16cid:durableId="1965847067">
    <w:abstractNumId w:val="32"/>
  </w:num>
  <w:num w:numId="38" w16cid:durableId="434595693">
    <w:abstractNumId w:val="37"/>
  </w:num>
  <w:num w:numId="39" w16cid:durableId="305017112">
    <w:abstractNumId w:val="40"/>
  </w:num>
  <w:num w:numId="40" w16cid:durableId="1410544327">
    <w:abstractNumId w:val="23"/>
  </w:num>
  <w:num w:numId="41" w16cid:durableId="16200677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348C"/>
    <w:rsid w:val="00025897"/>
    <w:rsid w:val="00054CEE"/>
    <w:rsid w:val="00061D4F"/>
    <w:rsid w:val="00082C38"/>
    <w:rsid w:val="000875A5"/>
    <w:rsid w:val="000907C8"/>
    <w:rsid w:val="00096A86"/>
    <w:rsid w:val="000A3026"/>
    <w:rsid w:val="000C690D"/>
    <w:rsid w:val="000F216F"/>
    <w:rsid w:val="0013683D"/>
    <w:rsid w:val="00146619"/>
    <w:rsid w:val="001507B5"/>
    <w:rsid w:val="00153719"/>
    <w:rsid w:val="0015511A"/>
    <w:rsid w:val="00161980"/>
    <w:rsid w:val="00177DD7"/>
    <w:rsid w:val="001B3926"/>
    <w:rsid w:val="001B7A4C"/>
    <w:rsid w:val="001C6F28"/>
    <w:rsid w:val="001D4672"/>
    <w:rsid w:val="001F49B6"/>
    <w:rsid w:val="0022214D"/>
    <w:rsid w:val="00224E4B"/>
    <w:rsid w:val="0023528E"/>
    <w:rsid w:val="00274AC3"/>
    <w:rsid w:val="00285C25"/>
    <w:rsid w:val="00293906"/>
    <w:rsid w:val="002D7A43"/>
    <w:rsid w:val="002D7BFB"/>
    <w:rsid w:val="002F1F11"/>
    <w:rsid w:val="00301236"/>
    <w:rsid w:val="00303DCB"/>
    <w:rsid w:val="003105DA"/>
    <w:rsid w:val="003208D2"/>
    <w:rsid w:val="00332872"/>
    <w:rsid w:val="00333AA5"/>
    <w:rsid w:val="00344E3B"/>
    <w:rsid w:val="003579DA"/>
    <w:rsid w:val="00367C7A"/>
    <w:rsid w:val="00384D38"/>
    <w:rsid w:val="003A57B3"/>
    <w:rsid w:val="003C1CDB"/>
    <w:rsid w:val="0041366E"/>
    <w:rsid w:val="00425444"/>
    <w:rsid w:val="00442D2B"/>
    <w:rsid w:val="004B10BA"/>
    <w:rsid w:val="004B400B"/>
    <w:rsid w:val="004E70E8"/>
    <w:rsid w:val="00545C2C"/>
    <w:rsid w:val="00550747"/>
    <w:rsid w:val="005513A7"/>
    <w:rsid w:val="00561A81"/>
    <w:rsid w:val="005B3EC3"/>
    <w:rsid w:val="005B6FD2"/>
    <w:rsid w:val="005C35F4"/>
    <w:rsid w:val="005C3812"/>
    <w:rsid w:val="005D485B"/>
    <w:rsid w:val="00616AC5"/>
    <w:rsid w:val="00623642"/>
    <w:rsid w:val="00624B3D"/>
    <w:rsid w:val="00666B34"/>
    <w:rsid w:val="0068024D"/>
    <w:rsid w:val="006921D3"/>
    <w:rsid w:val="006B6737"/>
    <w:rsid w:val="006C4802"/>
    <w:rsid w:val="006E2A36"/>
    <w:rsid w:val="006F4F57"/>
    <w:rsid w:val="00722762"/>
    <w:rsid w:val="00727CD8"/>
    <w:rsid w:val="00742BF2"/>
    <w:rsid w:val="00747AAD"/>
    <w:rsid w:val="00747C0E"/>
    <w:rsid w:val="00753DC5"/>
    <w:rsid w:val="007A67BC"/>
    <w:rsid w:val="007B6120"/>
    <w:rsid w:val="007E4725"/>
    <w:rsid w:val="007F1F94"/>
    <w:rsid w:val="0080066B"/>
    <w:rsid w:val="0082111C"/>
    <w:rsid w:val="00847371"/>
    <w:rsid w:val="00850CF3"/>
    <w:rsid w:val="008603F3"/>
    <w:rsid w:val="00897E96"/>
    <w:rsid w:val="008A02B8"/>
    <w:rsid w:val="008C027A"/>
    <w:rsid w:val="008C3BC7"/>
    <w:rsid w:val="008C40B3"/>
    <w:rsid w:val="008F7FB9"/>
    <w:rsid w:val="00911065"/>
    <w:rsid w:val="00915EEE"/>
    <w:rsid w:val="00925CC7"/>
    <w:rsid w:val="0093397D"/>
    <w:rsid w:val="00947E29"/>
    <w:rsid w:val="00957286"/>
    <w:rsid w:val="00964464"/>
    <w:rsid w:val="00975172"/>
    <w:rsid w:val="00985050"/>
    <w:rsid w:val="009965D4"/>
    <w:rsid w:val="009A472B"/>
    <w:rsid w:val="009B474E"/>
    <w:rsid w:val="009F797C"/>
    <w:rsid w:val="00A1549F"/>
    <w:rsid w:val="00A165A8"/>
    <w:rsid w:val="00A1790F"/>
    <w:rsid w:val="00A364D1"/>
    <w:rsid w:val="00A62E7B"/>
    <w:rsid w:val="00A91CED"/>
    <w:rsid w:val="00A92CF1"/>
    <w:rsid w:val="00AE1404"/>
    <w:rsid w:val="00AF07AA"/>
    <w:rsid w:val="00AF3CBD"/>
    <w:rsid w:val="00B05A0A"/>
    <w:rsid w:val="00B55BB8"/>
    <w:rsid w:val="00BB53AB"/>
    <w:rsid w:val="00BB5A4D"/>
    <w:rsid w:val="00BB65EF"/>
    <w:rsid w:val="00BD6B94"/>
    <w:rsid w:val="00BE3901"/>
    <w:rsid w:val="00C07484"/>
    <w:rsid w:val="00C13A6B"/>
    <w:rsid w:val="00C76575"/>
    <w:rsid w:val="00C8224B"/>
    <w:rsid w:val="00C861AC"/>
    <w:rsid w:val="00C9216D"/>
    <w:rsid w:val="00CA4FDD"/>
    <w:rsid w:val="00CD6E59"/>
    <w:rsid w:val="00D36661"/>
    <w:rsid w:val="00D51A8D"/>
    <w:rsid w:val="00D530E5"/>
    <w:rsid w:val="00D74DF5"/>
    <w:rsid w:val="00D90237"/>
    <w:rsid w:val="00DA5964"/>
    <w:rsid w:val="00DE02A8"/>
    <w:rsid w:val="00DE1A07"/>
    <w:rsid w:val="00DF6715"/>
    <w:rsid w:val="00E23FA6"/>
    <w:rsid w:val="00E459A0"/>
    <w:rsid w:val="00E46648"/>
    <w:rsid w:val="00E50F62"/>
    <w:rsid w:val="00E53E9F"/>
    <w:rsid w:val="00E630EE"/>
    <w:rsid w:val="00E66AD3"/>
    <w:rsid w:val="00E72E15"/>
    <w:rsid w:val="00E9148A"/>
    <w:rsid w:val="00EA4EDB"/>
    <w:rsid w:val="00EA6B4C"/>
    <w:rsid w:val="00EA7356"/>
    <w:rsid w:val="00EB30DD"/>
    <w:rsid w:val="00EB3A91"/>
    <w:rsid w:val="00EC718A"/>
    <w:rsid w:val="00ED0078"/>
    <w:rsid w:val="00ED40CE"/>
    <w:rsid w:val="00ED5B67"/>
    <w:rsid w:val="00EE570D"/>
    <w:rsid w:val="00F018D2"/>
    <w:rsid w:val="00F2155C"/>
    <w:rsid w:val="00F413A0"/>
    <w:rsid w:val="00F43260"/>
    <w:rsid w:val="00F52604"/>
    <w:rsid w:val="00F53671"/>
    <w:rsid w:val="00F644F4"/>
    <w:rsid w:val="00F64E4B"/>
    <w:rsid w:val="00F80216"/>
    <w:rsid w:val="00F91B7C"/>
    <w:rsid w:val="00FA10BD"/>
    <w:rsid w:val="00FA211B"/>
    <w:rsid w:val="00FB40B9"/>
    <w:rsid w:val="00FC53DD"/>
    <w:rsid w:val="00FD6D9C"/>
    <w:rsid w:val="00FE6F2E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AFE20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25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545C2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lang w:eastAsia="nl-BE"/>
    </w:rPr>
  </w:style>
  <w:style w:type="paragraph" w:styleId="FootnoteText">
    <w:name w:val="footnote text"/>
    <w:basedOn w:val="Normal"/>
    <w:link w:val="FootnoteTextChar"/>
    <w:uiPriority w:val="99"/>
    <w:unhideWhenUsed/>
    <w:rsid w:val="00545C2C"/>
    <w:pPr>
      <w:spacing w:after="0" w:line="240" w:lineRule="auto"/>
    </w:pPr>
    <w:rPr>
      <w:rFonts w:eastAsiaTheme="minorEastAsia" w:cs="Times New Roman"/>
      <w:szCs w:val="20"/>
      <w:lang w:eastAsia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C2C"/>
    <w:rPr>
      <w:rFonts w:eastAsiaTheme="minorEastAsia" w:cs="Times New Roman"/>
      <w:sz w:val="20"/>
      <w:szCs w:val="20"/>
      <w:lang w:eastAsia="nl-BE"/>
    </w:rPr>
  </w:style>
  <w:style w:type="character" w:styleId="SubtleEmphasis">
    <w:name w:val="Subtle Emphasis"/>
    <w:basedOn w:val="DefaultParagraphFont"/>
    <w:uiPriority w:val="19"/>
    <w:qFormat/>
    <w:rsid w:val="00545C2C"/>
    <w:rPr>
      <w:i/>
      <w:iCs/>
    </w:rPr>
  </w:style>
  <w:style w:type="table" w:styleId="LightShading-Accent1">
    <w:name w:val="Light Shading Accent 1"/>
    <w:basedOn w:val="TableNormal"/>
    <w:uiPriority w:val="60"/>
    <w:rsid w:val="00545C2C"/>
    <w:pPr>
      <w:spacing w:after="0" w:line="240" w:lineRule="auto"/>
    </w:pPr>
    <w:rPr>
      <w:rFonts w:eastAsiaTheme="minorEastAsia"/>
      <w:color w:val="2E74B5" w:themeColor="accent1" w:themeShade="BF"/>
      <w:lang w:eastAsia="nl-B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545C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579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79D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76575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5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tektensupport@renson.ne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Kimberly Dehollander</cp:lastModifiedBy>
  <cp:revision>8</cp:revision>
  <cp:lastPrinted>2018-01-16T09:00:00Z</cp:lastPrinted>
  <dcterms:created xsi:type="dcterms:W3CDTF">2023-11-21T12:23:00Z</dcterms:created>
  <dcterms:modified xsi:type="dcterms:W3CDTF">2025-03-07T12:33:00Z</dcterms:modified>
</cp:coreProperties>
</file>