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37C88" w14:textId="231C9034"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L.0</w:t>
      </w:r>
      <w:r w:rsidR="0062430D">
        <w:rPr>
          <w:rFonts w:ascii="Tahoma" w:hAnsi="Tahoma"/>
          <w:b/>
          <w:color w:val="000080"/>
          <w:sz w:val="28"/>
          <w:szCs w:val="28"/>
        </w:rPr>
        <w:t>1</w:t>
      </w:r>
      <w:r w:rsidR="00222DF3">
        <w:rPr>
          <w:rFonts w:ascii="Tahoma" w:hAnsi="Tahoma"/>
          <w:b/>
          <w:color w:val="000080"/>
          <w:sz w:val="28"/>
          <w:szCs w:val="28"/>
        </w:rPr>
        <w:t>7</w:t>
      </w:r>
      <w:r w:rsidR="0062430D">
        <w:rPr>
          <w:rFonts w:ascii="Tahoma" w:hAnsi="Tahoma"/>
          <w:b/>
          <w:color w:val="000080"/>
          <w:sz w:val="28"/>
          <w:szCs w:val="28"/>
        </w:rPr>
        <w:t>0AC</w:t>
      </w:r>
      <w:r w:rsidR="00222DF3">
        <w:rPr>
          <w:rFonts w:ascii="Tahoma" w:hAnsi="Tahoma"/>
          <w:b/>
          <w:color w:val="000080"/>
          <w:sz w:val="28"/>
          <w:szCs w:val="28"/>
        </w:rPr>
        <w:t>S</w:t>
      </w:r>
    </w:p>
    <w:p w14:paraId="295D0BD4" w14:textId="77777777"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719B941D" w14:textId="77777777" w:rsidR="00AE2C69" w:rsidRDefault="00AE2C69" w:rsidP="008D438E">
      <w:pPr>
        <w:jc w:val="both"/>
        <w:rPr>
          <w:rFonts w:ascii="Tahoma" w:hAnsi="Tahoma"/>
          <w:sz w:val="20"/>
        </w:rPr>
      </w:pPr>
    </w:p>
    <w:p w14:paraId="788E140B" w14:textId="784E0139"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</w:t>
      </w:r>
      <w:r w:rsidR="0062430D">
        <w:rPr>
          <w:rFonts w:ascii="Tahoma" w:hAnsi="Tahoma"/>
          <w:b/>
          <w:sz w:val="20"/>
        </w:rPr>
        <w:t>1</w:t>
      </w:r>
      <w:r w:rsidR="00222DF3">
        <w:rPr>
          <w:rFonts w:ascii="Tahoma" w:hAnsi="Tahoma"/>
          <w:b/>
          <w:sz w:val="20"/>
        </w:rPr>
        <w:t>7</w:t>
      </w:r>
      <w:r w:rsidRPr="004B1932">
        <w:rPr>
          <w:rFonts w:ascii="Tahoma" w:hAnsi="Tahoma"/>
          <w:b/>
          <w:sz w:val="20"/>
        </w:rPr>
        <w:t>0</w:t>
      </w:r>
      <w:r w:rsidR="0062430D">
        <w:rPr>
          <w:rFonts w:ascii="Tahoma" w:hAnsi="Tahoma"/>
          <w:b/>
          <w:sz w:val="20"/>
        </w:rPr>
        <w:t>AC</w:t>
      </w:r>
      <w:r w:rsidR="00222DF3">
        <w:rPr>
          <w:rFonts w:ascii="Tahoma" w:hAnsi="Tahoma"/>
          <w:b/>
          <w:sz w:val="20"/>
        </w:rPr>
        <w:t>S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kenmerken </w:t>
      </w:r>
      <w:r>
        <w:rPr>
          <w:rFonts w:ascii="Tahoma" w:hAnsi="Tahoma"/>
          <w:sz w:val="20"/>
        </w:rPr>
        <w:t xml:space="preserve">: </w:t>
      </w:r>
    </w:p>
    <w:p w14:paraId="7DA3DF68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2C546C07" w14:textId="77777777" w:rsidR="00BC1604" w:rsidRDefault="00BC1604" w:rsidP="00BC1604">
      <w:pPr>
        <w:pStyle w:val="Lijstalinea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volgens</w:t>
      </w:r>
    </w:p>
    <w:p w14:paraId="3DC11CFD" w14:textId="77777777" w:rsidR="00BC1604" w:rsidRDefault="00BC1604" w:rsidP="00BC160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</w:t>
      </w:r>
      <w:r>
        <w:rPr>
          <w:rFonts w:ascii="Tahoma" w:hAnsi="Tahoma"/>
          <w:sz w:val="20"/>
          <w:lang w:val="fr-BE"/>
        </w:rPr>
        <w:t>01</w:t>
      </w:r>
      <w:r w:rsidRPr="000576E3">
        <w:rPr>
          <w:rFonts w:ascii="Tahoma" w:hAnsi="Tahoma"/>
          <w:sz w:val="20"/>
          <w:lang w:val="fr-BE"/>
        </w:rPr>
        <w:t>40-1:</w:t>
      </w:r>
      <w:r>
        <w:rPr>
          <w:rFonts w:ascii="Tahoma" w:hAnsi="Tahoma"/>
          <w:sz w:val="20"/>
          <w:lang w:val="fr-BE"/>
        </w:rPr>
        <w:t>2010</w:t>
      </w:r>
    </w:p>
    <w:p w14:paraId="3481E496" w14:textId="77777777" w:rsidR="00BC1604" w:rsidRPr="000576E3" w:rsidRDefault="00BC1604" w:rsidP="00BC160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 xml:space="preserve">EN </w:t>
      </w:r>
      <w:r>
        <w:rPr>
          <w:rFonts w:ascii="Tahoma" w:hAnsi="Tahoma"/>
          <w:sz w:val="20"/>
          <w:lang w:val="fr-BE"/>
        </w:rPr>
        <w:t>ISO 10140-2</w:t>
      </w:r>
      <w:r w:rsidRPr="000576E3">
        <w:rPr>
          <w:rFonts w:ascii="Tahoma" w:hAnsi="Tahoma"/>
          <w:sz w:val="20"/>
          <w:lang w:val="fr-BE"/>
        </w:rPr>
        <w:t>:</w:t>
      </w:r>
      <w:r>
        <w:rPr>
          <w:rFonts w:ascii="Tahoma" w:hAnsi="Tahoma"/>
          <w:sz w:val="20"/>
          <w:lang w:val="fr-BE"/>
        </w:rPr>
        <w:t>2010</w:t>
      </w:r>
    </w:p>
    <w:p w14:paraId="762B1DB0" w14:textId="77777777" w:rsidR="00BC1604" w:rsidRPr="000576E3" w:rsidRDefault="00BC1604" w:rsidP="00BC1604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6F1EE8EA" w14:textId="77777777" w:rsidR="00BC1604" w:rsidRDefault="00BC1604" w:rsidP="00BC1604">
      <w:pPr>
        <w:pStyle w:val="Lijstalinea"/>
        <w:ind w:left="1080"/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g</w:t>
      </w:r>
      <w:r w:rsidRPr="00B4049B">
        <w:rPr>
          <w:rFonts w:ascii="Tahoma" w:hAnsi="Tahoma"/>
          <w:bCs/>
          <w:sz w:val="20"/>
        </w:rPr>
        <w:t>etest met afmetingen van 1.2</w:t>
      </w:r>
      <w:r>
        <w:rPr>
          <w:rFonts w:ascii="Tahoma" w:hAnsi="Tahoma"/>
          <w:bCs/>
          <w:sz w:val="20"/>
        </w:rPr>
        <w:t>3</w:t>
      </w:r>
      <w:r w:rsidRPr="00B4049B">
        <w:rPr>
          <w:rFonts w:ascii="Tahoma" w:hAnsi="Tahoma"/>
          <w:bCs/>
          <w:sz w:val="20"/>
        </w:rPr>
        <w:t xml:space="preserve"> m x 1.</w:t>
      </w:r>
      <w:r>
        <w:rPr>
          <w:rFonts w:ascii="Tahoma" w:hAnsi="Tahoma"/>
          <w:bCs/>
          <w:sz w:val="20"/>
        </w:rPr>
        <w:t>48</w:t>
      </w:r>
      <w:r w:rsidRPr="00B4049B">
        <w:rPr>
          <w:rFonts w:ascii="Tahoma" w:hAnsi="Tahoma"/>
          <w:bCs/>
          <w:sz w:val="20"/>
        </w:rPr>
        <w:t xml:space="preserve"> m</w:t>
      </w:r>
    </w:p>
    <w:p w14:paraId="0FDA3C24" w14:textId="77777777" w:rsidR="00BC1604" w:rsidRPr="00B4049B" w:rsidRDefault="00BC1604" w:rsidP="00BC1604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Geluidsreductie 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 xml:space="preserve">) = </w:t>
      </w:r>
      <w:r>
        <w:rPr>
          <w:rFonts w:ascii="Tahoma" w:hAnsi="Tahoma"/>
          <w:sz w:val="20"/>
          <w:lang w:val="en-GB"/>
        </w:rPr>
        <w:t>9</w:t>
      </w:r>
      <w:r w:rsidRPr="00CE474B">
        <w:rPr>
          <w:rFonts w:ascii="Tahoma" w:hAnsi="Tahoma"/>
          <w:sz w:val="20"/>
          <w:lang w:val="en-GB"/>
        </w:rPr>
        <w:t xml:space="preserve"> (</w:t>
      </w:r>
      <w:r>
        <w:rPr>
          <w:rFonts w:ascii="Tahoma" w:hAnsi="Tahoma"/>
          <w:sz w:val="20"/>
          <w:lang w:val="en-GB"/>
        </w:rPr>
        <w:t>0</w:t>
      </w:r>
      <w:r w:rsidRPr="00CE474B">
        <w:rPr>
          <w:rFonts w:ascii="Tahoma" w:hAnsi="Tahoma"/>
          <w:sz w:val="20"/>
          <w:lang w:val="en-GB"/>
        </w:rPr>
        <w:t>;-</w:t>
      </w:r>
      <w:r>
        <w:rPr>
          <w:rFonts w:ascii="Tahoma" w:hAnsi="Tahoma"/>
          <w:sz w:val="20"/>
          <w:lang w:val="en-GB"/>
        </w:rPr>
        <w:t>1</w:t>
      </w:r>
      <w:r w:rsidRPr="00CE474B">
        <w:rPr>
          <w:rFonts w:ascii="Tahoma" w:hAnsi="Tahoma"/>
          <w:sz w:val="20"/>
          <w:lang w:val="en-GB"/>
        </w:rPr>
        <w:t>)</w:t>
      </w:r>
    </w:p>
    <w:p w14:paraId="4241F08B" w14:textId="77777777" w:rsidR="00BC1604" w:rsidRPr="00966B7E" w:rsidRDefault="00BC1604" w:rsidP="00BC1604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</w:rPr>
      </w:pPr>
      <w:r w:rsidRPr="00966B7E">
        <w:rPr>
          <w:rFonts w:ascii="Tahoma" w:hAnsi="Tahoma"/>
          <w:bCs/>
          <w:sz w:val="20"/>
        </w:rPr>
        <w:t>Geluid</w:t>
      </w:r>
      <w:r>
        <w:rPr>
          <w:rFonts w:ascii="Tahoma" w:hAnsi="Tahoma"/>
          <w:bCs/>
          <w:sz w:val="20"/>
        </w:rPr>
        <w:t>s</w:t>
      </w:r>
      <w:r w:rsidRPr="00966B7E">
        <w:rPr>
          <w:rFonts w:ascii="Tahoma" w:hAnsi="Tahoma"/>
          <w:bCs/>
          <w:sz w:val="20"/>
        </w:rPr>
        <w:t>reductie R in functie van frequentie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BC1604" w14:paraId="0044D8DC" w14:textId="77777777" w:rsidTr="00190A5E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76B5D890" w14:textId="77777777" w:rsidR="00BC1604" w:rsidRPr="00974F33" w:rsidRDefault="00BC1604" w:rsidP="00190A5E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394204DF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34C1C2E4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085E838B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2CE90F63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04002308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144CAA1F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5C273449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670DCA3B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171420FD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7A423E6F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5A620ED3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7EDFA112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6433295F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19C708D7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03AAE618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4E49CCDB" w14:textId="77777777" w:rsidR="00BC1604" w:rsidRPr="00B92D8A" w:rsidRDefault="00BC1604" w:rsidP="00190A5E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BC1604" w14:paraId="104A7437" w14:textId="77777777" w:rsidTr="00190A5E">
        <w:tc>
          <w:tcPr>
            <w:tcW w:w="752" w:type="dxa"/>
          </w:tcPr>
          <w:p w14:paraId="6C402797" w14:textId="77777777" w:rsidR="00BC1604" w:rsidRPr="00B92D8A" w:rsidRDefault="00BC1604" w:rsidP="00190A5E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743BCA7C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</w:t>
            </w:r>
            <w:r w:rsidRPr="00B92D8A">
              <w:rPr>
                <w:rFonts w:ascii="Tahoma" w:hAnsi="Tahoma"/>
                <w:bCs/>
                <w:sz w:val="14"/>
                <w:szCs w:val="14"/>
              </w:rPr>
              <w:t>,3</w:t>
            </w:r>
          </w:p>
        </w:tc>
        <w:tc>
          <w:tcPr>
            <w:tcW w:w="490" w:type="dxa"/>
          </w:tcPr>
          <w:p w14:paraId="34D3DE39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4,2</w:t>
            </w:r>
          </w:p>
        </w:tc>
        <w:tc>
          <w:tcPr>
            <w:tcW w:w="489" w:type="dxa"/>
          </w:tcPr>
          <w:p w14:paraId="3F010F31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3,5</w:t>
            </w:r>
          </w:p>
        </w:tc>
        <w:tc>
          <w:tcPr>
            <w:tcW w:w="490" w:type="dxa"/>
          </w:tcPr>
          <w:p w14:paraId="26B0A684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2,8</w:t>
            </w:r>
          </w:p>
        </w:tc>
        <w:tc>
          <w:tcPr>
            <w:tcW w:w="489" w:type="dxa"/>
          </w:tcPr>
          <w:p w14:paraId="61F0D604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2,9</w:t>
            </w:r>
          </w:p>
        </w:tc>
        <w:tc>
          <w:tcPr>
            <w:tcW w:w="490" w:type="dxa"/>
          </w:tcPr>
          <w:p w14:paraId="6F4F3CE7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3,6</w:t>
            </w:r>
          </w:p>
        </w:tc>
        <w:tc>
          <w:tcPr>
            <w:tcW w:w="489" w:type="dxa"/>
          </w:tcPr>
          <w:p w14:paraId="4DE067DF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4,3</w:t>
            </w:r>
          </w:p>
        </w:tc>
        <w:tc>
          <w:tcPr>
            <w:tcW w:w="490" w:type="dxa"/>
          </w:tcPr>
          <w:p w14:paraId="34FDBCE4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5,4</w:t>
            </w:r>
          </w:p>
        </w:tc>
        <w:tc>
          <w:tcPr>
            <w:tcW w:w="490" w:type="dxa"/>
          </w:tcPr>
          <w:p w14:paraId="0544395E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7,0</w:t>
            </w:r>
          </w:p>
        </w:tc>
        <w:tc>
          <w:tcPr>
            <w:tcW w:w="489" w:type="dxa"/>
          </w:tcPr>
          <w:p w14:paraId="25598A04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9,4</w:t>
            </w:r>
          </w:p>
        </w:tc>
        <w:tc>
          <w:tcPr>
            <w:tcW w:w="490" w:type="dxa"/>
          </w:tcPr>
          <w:p w14:paraId="77107E23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11,5</w:t>
            </w:r>
          </w:p>
        </w:tc>
        <w:tc>
          <w:tcPr>
            <w:tcW w:w="489" w:type="dxa"/>
          </w:tcPr>
          <w:p w14:paraId="4EC3F7E1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12,3</w:t>
            </w:r>
          </w:p>
        </w:tc>
        <w:tc>
          <w:tcPr>
            <w:tcW w:w="490" w:type="dxa"/>
          </w:tcPr>
          <w:p w14:paraId="4F09539F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12,4</w:t>
            </w:r>
          </w:p>
        </w:tc>
        <w:tc>
          <w:tcPr>
            <w:tcW w:w="489" w:type="dxa"/>
          </w:tcPr>
          <w:p w14:paraId="33D9CF48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11,2</w:t>
            </w:r>
          </w:p>
        </w:tc>
        <w:tc>
          <w:tcPr>
            <w:tcW w:w="490" w:type="dxa"/>
          </w:tcPr>
          <w:p w14:paraId="45F1D2CD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10,2</w:t>
            </w:r>
          </w:p>
        </w:tc>
        <w:tc>
          <w:tcPr>
            <w:tcW w:w="490" w:type="dxa"/>
          </w:tcPr>
          <w:p w14:paraId="6930CD8C" w14:textId="77777777" w:rsidR="00BC1604" w:rsidRPr="00B92D8A" w:rsidRDefault="00BC1604" w:rsidP="00190A5E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</w:tr>
    </w:tbl>
    <w:p w14:paraId="13591B3B" w14:textId="2C80E293" w:rsidR="00BC1604" w:rsidRDefault="00BC1604" w:rsidP="00BC160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voor te leggen : onafhankelijk testrapport </w:t>
      </w:r>
      <w:r>
        <w:rPr>
          <w:rFonts w:ascii="Tahoma" w:hAnsi="Tahoma"/>
          <w:sz w:val="20"/>
        </w:rPr>
        <w:t>(IFT-</w:t>
      </w:r>
      <w:proofErr w:type="spellStart"/>
      <w:r>
        <w:rPr>
          <w:rFonts w:ascii="Tahoma" w:hAnsi="Tahoma"/>
          <w:sz w:val="20"/>
        </w:rPr>
        <w:t>Rosenheim</w:t>
      </w:r>
      <w:proofErr w:type="spellEnd"/>
      <w:r>
        <w:rPr>
          <w:rFonts w:ascii="Tahoma" w:hAnsi="Tahoma"/>
          <w:sz w:val="20"/>
        </w:rPr>
        <w:t xml:space="preserve"> nr.10-001892-PR02-PB02-E02-04-en-03</w:t>
      </w:r>
      <w:r w:rsidRPr="00EE6B6C">
        <w:rPr>
          <w:rFonts w:ascii="Tahoma" w:hAnsi="Tahoma"/>
          <w:sz w:val="20"/>
        </w:rPr>
        <w:t>)</w:t>
      </w:r>
    </w:p>
    <w:p w14:paraId="6780FCBD" w14:textId="77777777" w:rsidR="00BC1604" w:rsidRPr="00EE6B6C" w:rsidRDefault="00BC1604" w:rsidP="00BC1604">
      <w:pPr>
        <w:pStyle w:val="Lijstalinea"/>
        <w:ind w:left="1440"/>
        <w:jc w:val="both"/>
        <w:rPr>
          <w:rFonts w:ascii="Tahoma" w:hAnsi="Tahoma"/>
          <w:sz w:val="20"/>
        </w:rPr>
      </w:pPr>
    </w:p>
    <w:p w14:paraId="1E700911" w14:textId="77777777" w:rsidR="00BC1604" w:rsidRDefault="00BC1604" w:rsidP="00BC1604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>
        <w:rPr>
          <w:rFonts w:ascii="Tahoma" w:hAnsi="Tahoma"/>
          <w:b/>
          <w:sz w:val="20"/>
        </w:rPr>
        <w:t xml:space="preserve"> </w:t>
      </w:r>
    </w:p>
    <w:p w14:paraId="4B188D45" w14:textId="77777777" w:rsidR="00BC1604" w:rsidRDefault="00BC1604" w:rsidP="00BC1604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>
        <w:rPr>
          <w:rFonts w:ascii="Tahoma" w:hAnsi="Tahoma" w:cs="Tahoma"/>
          <w:sz w:val="20"/>
          <w:szCs w:val="20"/>
        </w:rPr>
        <w:t>37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07F05D79" w14:textId="77777777" w:rsidR="00BC1604" w:rsidRDefault="00BC1604" w:rsidP="00BC1604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visueel vrije doorlaat: 59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2B3E906C" w14:textId="77777777" w:rsidR="00BC1604" w:rsidRDefault="00BC1604" w:rsidP="00BC1604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volgens EN </w:t>
      </w:r>
      <w:r w:rsidRPr="00045F9D">
        <w:rPr>
          <w:rFonts w:ascii="Tahoma" w:hAnsi="Tahoma" w:cs="Tahoma"/>
          <w:sz w:val="20"/>
          <w:szCs w:val="20"/>
        </w:rPr>
        <w:t>13030:2001</w:t>
      </w:r>
    </w:p>
    <w:p w14:paraId="1A37522F" w14:textId="77777777" w:rsidR="00BC1604" w:rsidRDefault="00BC1604" w:rsidP="00BC1604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CFD op rooster van 1m x 1m.</w:t>
      </w:r>
    </w:p>
    <w:p w14:paraId="57588B79" w14:textId="77777777" w:rsidR="00BC1604" w:rsidRDefault="00BC1604" w:rsidP="00BC1604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>² = 25,46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</w:t>
      </w:r>
      <w:r>
        <w:rPr>
          <w:rFonts w:ascii="Tahoma" w:hAnsi="Tahoma" w:cs="Tahoma"/>
          <w:sz w:val="20"/>
          <w:szCs w:val="20"/>
        </w:rPr>
        <w:t>,198</w:t>
      </w:r>
    </w:p>
    <w:p w14:paraId="7AA9D119" w14:textId="404C4B09" w:rsidR="0062430D" w:rsidRDefault="00BC1604" w:rsidP="00BC1604">
      <w:pPr>
        <w:pStyle w:val="Lijstalinea"/>
        <w:ind w:left="21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Luchtweerstand afvoer : </w:t>
      </w:r>
      <w:r w:rsidRPr="00BF37AC">
        <w:rPr>
          <w:rFonts w:ascii="Tahoma" w:hAnsi="Tahoma" w:cs="Tahoma"/>
          <w:sz w:val="20"/>
        </w:rPr>
        <w:t>K = 1/c</w:t>
      </w:r>
      <w:r>
        <w:rPr>
          <w:rFonts w:ascii="Tahoma" w:hAnsi="Tahoma" w:cs="Tahoma"/>
          <w:sz w:val="20"/>
          <w:vertAlign w:val="subscript"/>
        </w:rPr>
        <w:t>d</w:t>
      </w:r>
      <w:r>
        <w:rPr>
          <w:rFonts w:ascii="Tahoma" w:hAnsi="Tahoma" w:cs="Tahoma"/>
          <w:sz w:val="20"/>
        </w:rPr>
        <w:t>² = 25,15  ;</w:t>
      </w:r>
      <w:r w:rsidRPr="00BF37AC">
        <w:rPr>
          <w:rFonts w:ascii="Tahoma" w:hAnsi="Tahoma" w:cs="Tahoma"/>
          <w:sz w:val="20"/>
        </w:rPr>
        <w:t xml:space="preserve">  C</w:t>
      </w:r>
      <w:r>
        <w:rPr>
          <w:rFonts w:ascii="Tahoma" w:hAnsi="Tahoma" w:cs="Tahoma"/>
          <w:sz w:val="20"/>
          <w:vertAlign w:val="subscript"/>
        </w:rPr>
        <w:t>d</w:t>
      </w:r>
      <w:r>
        <w:rPr>
          <w:rFonts w:ascii="Tahoma" w:hAnsi="Tahoma" w:cs="Tahoma"/>
          <w:sz w:val="20"/>
        </w:rPr>
        <w:t xml:space="preserve"> =</w:t>
      </w:r>
      <w:r w:rsidRPr="00BF37AC">
        <w:rPr>
          <w:rFonts w:ascii="Tahoma" w:hAnsi="Tahoma" w:cs="Tahoma"/>
          <w:sz w:val="20"/>
        </w:rPr>
        <w:t xml:space="preserve"> 0,</w:t>
      </w:r>
      <w:r>
        <w:rPr>
          <w:rFonts w:ascii="Tahoma" w:hAnsi="Tahoma" w:cs="Tahoma"/>
          <w:sz w:val="20"/>
        </w:rPr>
        <w:t>200</w:t>
      </w:r>
    </w:p>
    <w:p w14:paraId="49E7605A" w14:textId="77777777" w:rsidR="00BC1604" w:rsidRDefault="00BC1604" w:rsidP="00BC1604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78FA7B5D" w14:textId="77777777" w:rsidR="0062430D" w:rsidRPr="00C51EAE" w:rsidRDefault="0062430D" w:rsidP="0062430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3C5BA2BC" w14:textId="77777777" w:rsidR="0062430D" w:rsidRDefault="0062430D" w:rsidP="0062430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227EDB31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77ABB8EB" w14:textId="537FC8C5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lamelstap : 1</w:t>
      </w:r>
      <w:r w:rsidR="00BC1604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11E21293" w14:textId="77777777" w:rsidR="0062430D" w:rsidRDefault="0062430D" w:rsidP="0062430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lamelhoogte : 239 mm</w:t>
      </w:r>
    </w:p>
    <w:p w14:paraId="02F85B44" w14:textId="77777777" w:rsidR="00106328" w:rsidRPr="007E35EF" w:rsidRDefault="00106328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E35EF">
        <w:rPr>
          <w:rFonts w:ascii="Tahoma" w:hAnsi="Tahoma"/>
          <w:sz w:val="20"/>
        </w:rPr>
        <w:t xml:space="preserve">onzichtbaar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14:paraId="0CD1DEBA" w14:textId="77777777" w:rsidR="00C51EAE" w:rsidRDefault="00C51EAE" w:rsidP="00C51EAE">
      <w:pPr>
        <w:pStyle w:val="Lijstalinea"/>
        <w:jc w:val="both"/>
        <w:rPr>
          <w:rFonts w:ascii="Tahoma" w:hAnsi="Tahoma"/>
          <w:b/>
          <w:sz w:val="20"/>
        </w:rPr>
      </w:pPr>
    </w:p>
    <w:p w14:paraId="2865FE8B" w14:textId="77777777" w:rsidR="00C51EAE" w:rsidRDefault="002102F9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</w:p>
    <w:p w14:paraId="6BE2D098" w14:textId="77777777" w:rsidR="00A21665" w:rsidRDefault="00A21665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windimpact :</w:t>
      </w:r>
    </w:p>
    <w:p w14:paraId="67141596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62430D">
        <w:rPr>
          <w:rFonts w:ascii="Tahoma" w:hAnsi="Tahoma"/>
          <w:sz w:val="20"/>
        </w:rPr>
        <w:t>Cfy</w:t>
      </w:r>
      <w:proofErr w:type="spellEnd"/>
      <w:r w:rsidRPr="0062430D">
        <w:rPr>
          <w:rFonts w:ascii="Tahoma" w:hAnsi="Tahoma"/>
          <w:sz w:val="20"/>
        </w:rPr>
        <w:t xml:space="preserve"> :  1,36 (horizontale richting)</w:t>
      </w:r>
    </w:p>
    <w:p w14:paraId="088CFA6E" w14:textId="77777777" w:rsidR="0062430D" w:rsidRPr="0062430D" w:rsidRDefault="0062430D" w:rsidP="0062430D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62430D">
        <w:rPr>
          <w:rFonts w:ascii="Tahoma" w:hAnsi="Tahoma"/>
          <w:sz w:val="20"/>
        </w:rPr>
        <w:t>Cfz</w:t>
      </w:r>
      <w:proofErr w:type="spellEnd"/>
      <w:r w:rsidRPr="0062430D">
        <w:rPr>
          <w:rFonts w:ascii="Tahoma" w:hAnsi="Tahoma"/>
          <w:sz w:val="20"/>
        </w:rPr>
        <w:t xml:space="preserve"> :  1,09 (verticale richting)</w:t>
      </w:r>
    </w:p>
    <w:p w14:paraId="4873E28A" w14:textId="251057C2"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proofErr w:type="spellStart"/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proofErr w:type="spellEnd"/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:  </w:t>
      </w:r>
      <w:r w:rsidR="0062430D">
        <w:rPr>
          <w:rFonts w:ascii="Tahoma" w:hAnsi="Tahoma"/>
          <w:sz w:val="20"/>
        </w:rPr>
        <w:t>2.8</w:t>
      </w:r>
      <w:r w:rsidR="00BC1604">
        <w:rPr>
          <w:rFonts w:ascii="Tahoma" w:hAnsi="Tahoma"/>
          <w:sz w:val="20"/>
        </w:rPr>
        <w:t>00</w:t>
      </w:r>
      <w:r w:rsidRPr="002102F9">
        <w:rPr>
          <w:rFonts w:ascii="Tahoma" w:hAnsi="Tahoma"/>
          <w:sz w:val="20"/>
        </w:rPr>
        <w:t xml:space="preserve"> mm</w:t>
      </w:r>
    </w:p>
    <w:p w14:paraId="20C6A86B" w14:textId="77777777"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draagstructuur</w:t>
      </w:r>
    </w:p>
    <w:p w14:paraId="0037D403" w14:textId="77777777" w:rsidR="000F7D8A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type en aantal draagprofielen te voorzien in functie van de gewenste overspanning en van de lokale windlasten</w:t>
      </w:r>
    </w:p>
    <w:p w14:paraId="78CD20F9" w14:textId="77777777" w:rsidR="0014266E" w:rsidRDefault="0014266E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bij voorkeur in aluminium, deel uitmakend van het lamellenwandsysteem</w:t>
      </w:r>
    </w:p>
    <w:p w14:paraId="7076DEE6" w14:textId="77777777" w:rsidR="002102F9" w:rsidRDefault="002102F9" w:rsidP="002102F9">
      <w:pPr>
        <w:pStyle w:val="Lijstalinea"/>
        <w:ind w:left="2160"/>
        <w:jc w:val="both"/>
        <w:rPr>
          <w:rFonts w:ascii="Tahoma" w:hAnsi="Tahoma"/>
          <w:sz w:val="20"/>
        </w:rPr>
      </w:pPr>
    </w:p>
    <w:p w14:paraId="1B52221B" w14:textId="0BFAE952" w:rsidR="002102F9" w:rsidRPr="002102F9" w:rsidRDefault="002102F9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 xml:space="preserve">aterie </w:t>
      </w:r>
    </w:p>
    <w:p w14:paraId="38F325B9" w14:textId="77777777" w:rsid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62FB01B9" w14:textId="77777777" w:rsidR="002102F9" w:rsidRPr="002102F9" w:rsidRDefault="002102F9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527DF60A" w14:textId="77777777" w:rsidR="002102F9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4554C3AF" w14:textId="77777777" w:rsidR="002102F9" w:rsidRPr="000F7D8A" w:rsidRDefault="002102F9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p</w:t>
      </w:r>
      <w:r w:rsidRPr="000F7D8A">
        <w:rPr>
          <w:rFonts w:ascii="Tahoma" w:hAnsi="Tahoma"/>
          <w:sz w:val="20"/>
        </w:rPr>
        <w:t xml:space="preserve">olyester poederlak in RAL-kleuren (60 à 80 micron) </w:t>
      </w:r>
      <w:r w:rsidR="0014266E">
        <w:rPr>
          <w:rFonts w:ascii="Tahoma" w:hAnsi="Tahoma"/>
          <w:sz w:val="20"/>
        </w:rPr>
        <w:t xml:space="preserve">conform de standaard </w:t>
      </w:r>
      <w:proofErr w:type="spellStart"/>
      <w:r w:rsidR="0014266E">
        <w:rPr>
          <w:rFonts w:ascii="Tahoma" w:hAnsi="Tahoma"/>
          <w:sz w:val="20"/>
        </w:rPr>
        <w:t>Qualicoat</w:t>
      </w:r>
      <w:proofErr w:type="spellEnd"/>
    </w:p>
    <w:p w14:paraId="5FE3F98C" w14:textId="77777777" w:rsidR="002102F9" w:rsidRPr="002102F9" w:rsidRDefault="002102F9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47E95C0E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nox/rvs mazendraad 2,3 x 2,3 ; 6 x 6 of 20 x 20 mm, bevestigd aan achterkant van de draagstructuur</w:t>
      </w:r>
    </w:p>
    <w:p w14:paraId="5E7D6A03" w14:textId="77777777" w:rsidR="001C635B" w:rsidRPr="000F7D8A" w:rsidRDefault="000F7D8A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 LZ.4140</w:t>
      </w:r>
    </w:p>
    <w:sectPr w:rsidR="001C635B" w:rsidRPr="000F7D8A" w:rsidSect="00306E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F4126"/>
    <w:rsid w:val="000F7D8A"/>
    <w:rsid w:val="00106328"/>
    <w:rsid w:val="0014266E"/>
    <w:rsid w:val="001C635B"/>
    <w:rsid w:val="002102F9"/>
    <w:rsid w:val="00222DF3"/>
    <w:rsid w:val="00306E91"/>
    <w:rsid w:val="00311D04"/>
    <w:rsid w:val="003850B6"/>
    <w:rsid w:val="003E5AF2"/>
    <w:rsid w:val="004744E8"/>
    <w:rsid w:val="004B1932"/>
    <w:rsid w:val="00561683"/>
    <w:rsid w:val="0062430D"/>
    <w:rsid w:val="006D234E"/>
    <w:rsid w:val="00717A4F"/>
    <w:rsid w:val="00724F43"/>
    <w:rsid w:val="007665A0"/>
    <w:rsid w:val="007E35EF"/>
    <w:rsid w:val="008939AE"/>
    <w:rsid w:val="008D438E"/>
    <w:rsid w:val="00904357"/>
    <w:rsid w:val="009725AB"/>
    <w:rsid w:val="00A21665"/>
    <w:rsid w:val="00A34FE8"/>
    <w:rsid w:val="00AE2C69"/>
    <w:rsid w:val="00BC1604"/>
    <w:rsid w:val="00C33951"/>
    <w:rsid w:val="00C51EAE"/>
    <w:rsid w:val="00D65588"/>
    <w:rsid w:val="00D72F2B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9C3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624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tektitel">
    <w:name w:val="bestektitel"/>
    <w:basedOn w:val="Standaard"/>
    <w:rsid w:val="00BC1604"/>
    <w:rPr>
      <w:rFonts w:ascii="Tahoma" w:hAnsi="Tahoma"/>
      <w:b/>
      <w:caps/>
      <w:sz w:val="22"/>
      <w:szCs w:val="22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22</cp:revision>
  <cp:lastPrinted>2019-04-03T11:09:00Z</cp:lastPrinted>
  <dcterms:created xsi:type="dcterms:W3CDTF">2019-02-28T09:30:00Z</dcterms:created>
  <dcterms:modified xsi:type="dcterms:W3CDTF">2021-05-05T12:40:00Z</dcterms:modified>
</cp:coreProperties>
</file>